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b/>
          <w:sz w:val="36"/>
          <w:szCs w:val="36"/>
        </w:rPr>
      </w:pPr>
      <w:r>
        <w:rPr>
          <w:rFonts w:hint="eastAsia"/>
          <w:b/>
          <w:sz w:val="36"/>
          <w:szCs w:val="36"/>
        </w:rPr>
        <w:t>北京市房山区人民检察院2026年度物业管理服务采购项目采购需求</w:t>
      </w:r>
    </w:p>
    <w:p>
      <w:pPr>
        <w:pStyle w:val="11"/>
        <w:numPr>
          <w:ilvl w:val="0"/>
          <w:numId w:val="1"/>
        </w:numPr>
        <w:spacing w:line="360" w:lineRule="auto"/>
        <w:ind w:firstLineChars="0"/>
        <w:contextualSpacing/>
        <w:rPr>
          <w:rFonts w:hint="eastAsia" w:ascii="宋体" w:hAnsi="宋体"/>
          <w:b/>
          <w:szCs w:val="21"/>
        </w:rPr>
      </w:pPr>
      <w:r>
        <w:rPr>
          <w:rFonts w:ascii="宋体" w:hAnsi="宋体"/>
          <w:b/>
          <w:szCs w:val="21"/>
        </w:rPr>
        <w:t>采购标的</w:t>
      </w:r>
      <w:bookmarkStart w:id="4" w:name="_GoBack"/>
      <w:bookmarkEnd w:id="4"/>
    </w:p>
    <w:p>
      <w:pPr>
        <w:spacing w:line="360" w:lineRule="auto"/>
        <w:contextualSpacing/>
        <w:rPr>
          <w:rFonts w:hint="eastAsia" w:ascii="宋体" w:hAnsi="宋体"/>
          <w:bCs/>
          <w:szCs w:val="21"/>
        </w:rPr>
      </w:pPr>
      <w:r>
        <w:rPr>
          <w:rFonts w:hint="eastAsia" w:ascii="宋体" w:hAnsi="宋体"/>
          <w:b/>
          <w:bCs/>
          <w:szCs w:val="21"/>
        </w:rPr>
        <w:t>1. 采购标的</w:t>
      </w:r>
      <w:r>
        <w:rPr>
          <w:rFonts w:hint="eastAsia" w:ascii="宋体" w:hAnsi="宋体"/>
          <w:bCs/>
          <w:szCs w:val="21"/>
        </w:rPr>
        <w:t>（货物需求一览表或简要服务内容及数量）</w:t>
      </w:r>
    </w:p>
    <w:tbl>
      <w:tblPr>
        <w:tblStyle w:val="9"/>
        <w:tblW w:w="889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558"/>
        <w:gridCol w:w="1249"/>
        <w:gridCol w:w="851"/>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3" w:type="dxa"/>
            <w:noWrap w:val="0"/>
            <w:vAlign w:val="center"/>
          </w:tcPr>
          <w:p>
            <w:pPr>
              <w:jc w:val="center"/>
              <w:rPr>
                <w:rFonts w:hint="eastAsia" w:ascii="宋体" w:hAnsi="宋体"/>
                <w:bCs/>
                <w:szCs w:val="21"/>
              </w:rPr>
            </w:pPr>
            <w:r>
              <w:rPr>
                <w:rFonts w:hint="eastAsia" w:ascii="宋体" w:hAnsi="宋体"/>
                <w:bCs/>
                <w:szCs w:val="21"/>
              </w:rPr>
              <w:t>序号</w:t>
            </w:r>
          </w:p>
        </w:tc>
        <w:tc>
          <w:tcPr>
            <w:tcW w:w="1558" w:type="dxa"/>
            <w:noWrap w:val="0"/>
            <w:vAlign w:val="center"/>
          </w:tcPr>
          <w:p>
            <w:pPr>
              <w:jc w:val="center"/>
              <w:rPr>
                <w:rFonts w:hint="eastAsia" w:ascii="宋体" w:hAnsi="宋体"/>
                <w:bCs/>
                <w:szCs w:val="21"/>
              </w:rPr>
            </w:pPr>
            <w:r>
              <w:rPr>
                <w:rFonts w:hint="eastAsia" w:ascii="宋体" w:hAnsi="宋体"/>
                <w:bCs/>
                <w:szCs w:val="21"/>
              </w:rPr>
              <w:t>标的名称</w:t>
            </w:r>
          </w:p>
        </w:tc>
        <w:tc>
          <w:tcPr>
            <w:tcW w:w="1249" w:type="dxa"/>
            <w:noWrap w:val="0"/>
            <w:vAlign w:val="center"/>
          </w:tcPr>
          <w:p>
            <w:pPr>
              <w:jc w:val="center"/>
              <w:rPr>
                <w:rFonts w:hint="eastAsia" w:ascii="宋体" w:hAnsi="宋体"/>
                <w:bCs/>
                <w:szCs w:val="21"/>
              </w:rPr>
            </w:pPr>
            <w:r>
              <w:rPr>
                <w:rFonts w:hint="eastAsia" w:ascii="宋体" w:hAnsi="宋体"/>
                <w:bCs/>
                <w:szCs w:val="21"/>
              </w:rPr>
              <w:t>采购包</w:t>
            </w:r>
          </w:p>
          <w:p>
            <w:pPr>
              <w:jc w:val="center"/>
              <w:rPr>
                <w:rFonts w:hint="eastAsia" w:ascii="宋体" w:hAnsi="宋体"/>
                <w:bCs/>
                <w:szCs w:val="21"/>
              </w:rPr>
            </w:pPr>
            <w:r>
              <w:rPr>
                <w:rFonts w:hint="eastAsia" w:ascii="宋体" w:hAnsi="宋体"/>
                <w:bCs/>
                <w:szCs w:val="21"/>
              </w:rPr>
              <w:t>预算金额</w:t>
            </w:r>
          </w:p>
          <w:p>
            <w:pPr>
              <w:jc w:val="center"/>
              <w:rPr>
                <w:rFonts w:hint="eastAsia" w:ascii="宋体" w:hAnsi="宋体"/>
                <w:bCs/>
                <w:szCs w:val="21"/>
              </w:rPr>
            </w:pPr>
            <w:r>
              <w:rPr>
                <w:rFonts w:hint="eastAsia" w:ascii="宋体" w:hAnsi="宋体"/>
                <w:bCs/>
                <w:szCs w:val="21"/>
              </w:rPr>
              <w:t>（万元）</w:t>
            </w:r>
          </w:p>
        </w:tc>
        <w:tc>
          <w:tcPr>
            <w:tcW w:w="851" w:type="dxa"/>
            <w:noWrap w:val="0"/>
            <w:vAlign w:val="center"/>
          </w:tcPr>
          <w:p>
            <w:pPr>
              <w:jc w:val="center"/>
              <w:rPr>
                <w:rFonts w:hint="eastAsia" w:ascii="宋体" w:hAnsi="宋体"/>
                <w:bCs/>
                <w:szCs w:val="21"/>
              </w:rPr>
            </w:pPr>
            <w:r>
              <w:rPr>
                <w:rFonts w:hint="eastAsia" w:ascii="宋体" w:hAnsi="宋体"/>
                <w:bCs/>
                <w:szCs w:val="21"/>
              </w:rPr>
              <w:t>数量</w:t>
            </w:r>
          </w:p>
        </w:tc>
        <w:tc>
          <w:tcPr>
            <w:tcW w:w="4536" w:type="dxa"/>
            <w:noWrap w:val="0"/>
            <w:vAlign w:val="center"/>
          </w:tcPr>
          <w:p>
            <w:pPr>
              <w:jc w:val="center"/>
              <w:rPr>
                <w:rFonts w:hint="eastAsia" w:ascii="宋体" w:hAnsi="宋体"/>
                <w:szCs w:val="21"/>
              </w:rPr>
            </w:pPr>
            <w:r>
              <w:rPr>
                <w:rFonts w:hint="eastAsia" w:ascii="宋体" w:hAnsi="宋体"/>
                <w:szCs w:val="21"/>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3" w:type="dxa"/>
            <w:noWrap w:val="0"/>
            <w:vAlign w:val="center"/>
          </w:tcPr>
          <w:p>
            <w:pPr>
              <w:jc w:val="center"/>
              <w:rPr>
                <w:rFonts w:hint="eastAsia" w:ascii="宋体" w:hAnsi="宋体"/>
                <w:bCs/>
                <w:szCs w:val="21"/>
                <w:highlight w:val="none"/>
              </w:rPr>
            </w:pPr>
            <w:r>
              <w:rPr>
                <w:rFonts w:hint="eastAsia" w:ascii="宋体" w:hAnsi="宋体"/>
                <w:bCs/>
                <w:szCs w:val="21"/>
                <w:highlight w:val="none"/>
              </w:rPr>
              <w:t>1</w:t>
            </w:r>
          </w:p>
        </w:tc>
        <w:tc>
          <w:tcPr>
            <w:tcW w:w="1558" w:type="dxa"/>
            <w:noWrap w:val="0"/>
            <w:vAlign w:val="center"/>
          </w:tcPr>
          <w:p>
            <w:pPr>
              <w:jc w:val="center"/>
              <w:rPr>
                <w:rFonts w:hint="eastAsia" w:ascii="宋体" w:hAnsi="宋体"/>
                <w:bCs/>
                <w:szCs w:val="21"/>
                <w:highlight w:val="none"/>
              </w:rPr>
            </w:pPr>
            <w:r>
              <w:rPr>
                <w:rFonts w:hint="eastAsia" w:ascii="宋体" w:hAnsi="宋体"/>
                <w:bCs/>
                <w:szCs w:val="21"/>
                <w:highlight w:val="none"/>
              </w:rPr>
              <w:t>北京市房山区人民检察院2026年物业服务采购项目</w:t>
            </w:r>
          </w:p>
        </w:tc>
        <w:tc>
          <w:tcPr>
            <w:tcW w:w="1249" w:type="dxa"/>
            <w:noWrap w:val="0"/>
            <w:vAlign w:val="center"/>
          </w:tcPr>
          <w:p>
            <w:pPr>
              <w:jc w:val="center"/>
              <w:rPr>
                <w:rFonts w:hint="default" w:ascii="宋体" w:hAnsi="宋体" w:eastAsia="宋体"/>
                <w:bCs/>
                <w:szCs w:val="21"/>
                <w:highlight w:val="none"/>
                <w:lang w:val="en-US" w:eastAsia="zh-CN"/>
              </w:rPr>
            </w:pPr>
            <w:r>
              <w:rPr>
                <w:rFonts w:hint="eastAsia" w:ascii="宋体" w:hAnsi="宋体"/>
                <w:bCs/>
                <w:szCs w:val="21"/>
                <w:highlight w:val="none"/>
                <w:lang w:val="en-US" w:eastAsia="zh-CN"/>
              </w:rPr>
              <w:t>207</w:t>
            </w:r>
          </w:p>
        </w:tc>
        <w:tc>
          <w:tcPr>
            <w:tcW w:w="851" w:type="dxa"/>
            <w:noWrap w:val="0"/>
            <w:vAlign w:val="center"/>
          </w:tcPr>
          <w:p>
            <w:pPr>
              <w:jc w:val="center"/>
              <w:rPr>
                <w:rFonts w:hint="eastAsia" w:ascii="宋体" w:hAnsi="宋体"/>
                <w:bCs/>
                <w:szCs w:val="21"/>
                <w:highlight w:val="none"/>
              </w:rPr>
            </w:pPr>
            <w:r>
              <w:rPr>
                <w:rFonts w:hint="eastAsia" w:ascii="宋体" w:hAnsi="宋体"/>
                <w:bCs/>
                <w:szCs w:val="21"/>
                <w:highlight w:val="none"/>
              </w:rPr>
              <w:t>1年</w:t>
            </w:r>
          </w:p>
        </w:tc>
        <w:tc>
          <w:tcPr>
            <w:tcW w:w="4536" w:type="dxa"/>
            <w:noWrap w:val="0"/>
            <w:vAlign w:val="center"/>
          </w:tcPr>
          <w:p>
            <w:pPr>
              <w:snapToGrid w:val="0"/>
              <w:jc w:val="left"/>
              <w:rPr>
                <w:rFonts w:hint="eastAsia" w:ascii="宋体" w:hAnsi="宋体"/>
                <w:kern w:val="0"/>
                <w:szCs w:val="21"/>
                <w:highlight w:val="none"/>
              </w:rPr>
            </w:pPr>
            <w:r>
              <w:rPr>
                <w:rFonts w:hint="eastAsia" w:ascii="宋体" w:hAnsi="宋体" w:cs="宋体"/>
                <w:szCs w:val="21"/>
                <w:highlight w:val="none"/>
              </w:rPr>
              <w:t>按照采购人要求为采购人提供房屋建筑及设备设施日常检查与维修、工程维护、保洁、消防中控、会服、绿化等服务。</w:t>
            </w:r>
          </w:p>
        </w:tc>
      </w:tr>
    </w:tbl>
    <w:p>
      <w:pPr>
        <w:spacing w:line="360" w:lineRule="auto"/>
        <w:contextualSpacing/>
        <w:rPr>
          <w:rFonts w:hint="eastAsia" w:ascii="宋体" w:hAnsi="宋体"/>
          <w:bCs/>
          <w:dstrike/>
          <w:color w:val="FF0000"/>
          <w:szCs w:val="21"/>
        </w:rPr>
      </w:pPr>
    </w:p>
    <w:p>
      <w:pPr>
        <w:spacing w:line="360" w:lineRule="auto"/>
        <w:contextualSpacing/>
        <w:rPr>
          <w:rFonts w:hint="eastAsia" w:ascii="宋体" w:hAnsi="宋体"/>
          <w:bCs/>
          <w:szCs w:val="21"/>
          <w:highlight w:val="none"/>
        </w:rPr>
      </w:pPr>
      <w:r>
        <w:rPr>
          <w:rFonts w:hint="eastAsia" w:ascii="宋体" w:hAnsi="宋体"/>
          <w:b/>
          <w:bCs/>
          <w:szCs w:val="21"/>
        </w:rPr>
        <w:t>2</w:t>
      </w:r>
      <w:r>
        <w:rPr>
          <w:rFonts w:hint="eastAsia" w:ascii="宋体" w:hAnsi="宋体"/>
          <w:b/>
          <w:bCs/>
          <w:szCs w:val="21"/>
          <w:highlight w:val="none"/>
        </w:rPr>
        <w:t>. 项目背景/项目概述</w:t>
      </w:r>
    </w:p>
    <w:p>
      <w:pPr>
        <w:spacing w:line="360" w:lineRule="auto"/>
        <w:ind w:firstLine="420" w:firstLineChars="200"/>
        <w:rPr>
          <w:rFonts w:ascii="宋体" w:hAnsi="宋体"/>
          <w:szCs w:val="21"/>
          <w:highlight w:val="none"/>
        </w:rPr>
      </w:pPr>
      <w:r>
        <w:rPr>
          <w:rFonts w:hint="eastAsia" w:ascii="宋体" w:hAnsi="宋体"/>
          <w:szCs w:val="21"/>
          <w:highlight w:val="none"/>
        </w:rPr>
        <w:t>2.1建筑概况：</w:t>
      </w:r>
    </w:p>
    <w:p>
      <w:pPr>
        <w:spacing w:line="360" w:lineRule="auto"/>
        <w:ind w:firstLine="420" w:firstLineChars="200"/>
        <w:rPr>
          <w:rFonts w:ascii="宋体" w:hAnsi="宋体"/>
          <w:szCs w:val="21"/>
          <w:highlight w:val="none"/>
        </w:rPr>
      </w:pPr>
      <w:r>
        <w:rPr>
          <w:rFonts w:hint="eastAsia" w:ascii="宋体" w:hAnsi="宋体"/>
          <w:szCs w:val="21"/>
          <w:highlight w:val="none"/>
        </w:rPr>
        <w:t>北京房山区人民检察院位于市房山区政通路14号，分设办公楼、附属楼、档案楼、燕山办案区,共计1.9万</w:t>
      </w:r>
      <w:r>
        <w:rPr>
          <w:rFonts w:hint="eastAsia" w:ascii="宋体" w:hAnsi="宋体"/>
          <w:szCs w:val="21"/>
          <w:highlight w:val="none"/>
          <w:lang w:val="en-US" w:eastAsia="zh-CN"/>
        </w:rPr>
        <w:t>㎡</w:t>
      </w:r>
      <w:r>
        <w:rPr>
          <w:rFonts w:hint="eastAsia" w:ascii="宋体" w:hAnsi="宋体"/>
          <w:szCs w:val="21"/>
          <w:highlight w:val="none"/>
        </w:rPr>
        <w:t>，绿化面积2000</w:t>
      </w:r>
      <w:r>
        <w:rPr>
          <w:rFonts w:hint="eastAsia" w:ascii="宋体" w:hAnsi="宋体"/>
          <w:szCs w:val="21"/>
          <w:highlight w:val="none"/>
          <w:lang w:val="en-US" w:eastAsia="zh-CN"/>
        </w:rPr>
        <w:t>㎡</w:t>
      </w:r>
      <w:r>
        <w:rPr>
          <w:rFonts w:hint="eastAsia" w:ascii="宋体" w:hAnsi="宋体"/>
          <w:szCs w:val="21"/>
          <w:highlight w:val="none"/>
        </w:rPr>
        <w:t>，停车场车位106个(其中地上69个、地下37个)。</w:t>
      </w:r>
    </w:p>
    <w:p>
      <w:pPr>
        <w:spacing w:line="360" w:lineRule="auto"/>
        <w:ind w:firstLine="420" w:firstLineChars="200"/>
        <w:rPr>
          <w:rFonts w:ascii="宋体" w:hAnsi="宋体"/>
          <w:szCs w:val="21"/>
          <w:highlight w:val="none"/>
        </w:rPr>
      </w:pPr>
      <w:r>
        <w:rPr>
          <w:rFonts w:hint="eastAsia" w:ascii="宋体" w:hAnsi="宋体"/>
          <w:szCs w:val="21"/>
          <w:highlight w:val="none"/>
        </w:rPr>
        <w:t>主楼为2005年竣工投入使用，面积：1.3万</w:t>
      </w:r>
      <w:r>
        <w:rPr>
          <w:rFonts w:hint="eastAsia" w:ascii="宋体" w:hAnsi="宋体"/>
          <w:szCs w:val="21"/>
          <w:highlight w:val="none"/>
          <w:lang w:val="en-US" w:eastAsia="zh-CN"/>
        </w:rPr>
        <w:t>㎡</w:t>
      </w:r>
      <w:r>
        <w:rPr>
          <w:rFonts w:hint="eastAsia" w:ascii="宋体" w:hAnsi="宋体"/>
          <w:szCs w:val="21"/>
          <w:highlight w:val="none"/>
        </w:rPr>
        <w:t>，地下一层，地上十层。</w:t>
      </w:r>
    </w:p>
    <w:p>
      <w:pPr>
        <w:spacing w:line="360" w:lineRule="auto"/>
        <w:ind w:firstLine="420" w:firstLineChars="200"/>
        <w:rPr>
          <w:rFonts w:ascii="宋体" w:hAnsi="宋体"/>
          <w:szCs w:val="21"/>
          <w:highlight w:val="none"/>
        </w:rPr>
      </w:pPr>
      <w:r>
        <w:rPr>
          <w:rFonts w:hint="eastAsia" w:ascii="宋体" w:hAnsi="宋体"/>
          <w:szCs w:val="21"/>
          <w:highlight w:val="none"/>
        </w:rPr>
        <w:t>地下一层为设备机房：空调机房、生活用水房、消防泵房等；1层为：配电室、消防中控室、食堂；2-3层为中间为架空层，两侧为办公室、展室、司机班、库房；4-10层为办公区；每层有4个卫生间。</w:t>
      </w:r>
    </w:p>
    <w:p>
      <w:pPr>
        <w:spacing w:line="360" w:lineRule="auto"/>
        <w:ind w:firstLine="420" w:firstLineChars="200"/>
        <w:rPr>
          <w:rFonts w:hint="eastAsia" w:ascii="宋体" w:hAnsi="宋体"/>
          <w:szCs w:val="21"/>
          <w:highlight w:val="none"/>
        </w:rPr>
      </w:pPr>
      <w:r>
        <w:rPr>
          <w:rFonts w:hint="eastAsia" w:ascii="宋体" w:hAnsi="宋体"/>
          <w:szCs w:val="21"/>
          <w:highlight w:val="none"/>
        </w:rPr>
        <w:t>附属楼为四层，面积1500</w:t>
      </w:r>
      <w:r>
        <w:rPr>
          <w:rFonts w:hint="eastAsia" w:ascii="宋体" w:hAnsi="宋体"/>
          <w:szCs w:val="21"/>
          <w:highlight w:val="none"/>
          <w:lang w:val="en-US" w:eastAsia="zh-CN"/>
        </w:rPr>
        <w:t>㎡</w:t>
      </w:r>
      <w:r>
        <w:rPr>
          <w:rFonts w:hint="eastAsia" w:ascii="宋体" w:hAnsi="宋体"/>
          <w:szCs w:val="21"/>
          <w:highlight w:val="none"/>
        </w:rPr>
        <w:t>;其中1层为接待大厅，2层办案工作区，3层为客房，4层为住宿层。</w:t>
      </w:r>
    </w:p>
    <w:p>
      <w:pPr>
        <w:spacing w:line="360" w:lineRule="auto"/>
        <w:ind w:firstLine="420" w:firstLineChars="200"/>
        <w:rPr>
          <w:rFonts w:ascii="宋体" w:hAnsi="宋体"/>
          <w:szCs w:val="21"/>
          <w:highlight w:val="none"/>
        </w:rPr>
      </w:pPr>
      <w:r>
        <w:rPr>
          <w:rFonts w:hint="eastAsia" w:ascii="宋体" w:hAnsi="宋体"/>
          <w:szCs w:val="21"/>
          <w:highlight w:val="none"/>
        </w:rPr>
        <w:t>档案楼为四层，面积1500</w:t>
      </w:r>
      <w:r>
        <w:rPr>
          <w:rFonts w:hint="eastAsia" w:ascii="宋体" w:hAnsi="宋体"/>
          <w:szCs w:val="21"/>
          <w:highlight w:val="none"/>
          <w:lang w:val="en-US" w:eastAsia="zh-CN"/>
        </w:rPr>
        <w:t>㎡</w:t>
      </w:r>
      <w:r>
        <w:rPr>
          <w:rFonts w:hint="eastAsia" w:ascii="宋体" w:hAnsi="宋体"/>
          <w:szCs w:val="21"/>
          <w:highlight w:val="none"/>
        </w:rPr>
        <w:t>；其中1层为办公区，2层为法警办案区，3层为档案室，4层为党群活动室，5层为多功能厅。</w:t>
      </w:r>
    </w:p>
    <w:p>
      <w:pPr>
        <w:spacing w:line="360" w:lineRule="auto"/>
        <w:ind w:firstLine="420" w:firstLineChars="200"/>
        <w:rPr>
          <w:rFonts w:hint="eastAsia" w:ascii="宋体" w:hAnsi="宋体"/>
          <w:szCs w:val="21"/>
          <w:highlight w:val="none"/>
        </w:rPr>
      </w:pPr>
      <w:r>
        <w:rPr>
          <w:rFonts w:hint="eastAsia" w:ascii="宋体" w:hAnsi="宋体"/>
          <w:szCs w:val="21"/>
          <w:highlight w:val="none"/>
        </w:rPr>
        <w:t>燕山办案区位于北京市房山区迎风街道燕房路101号，面积3000</w:t>
      </w:r>
      <w:r>
        <w:rPr>
          <w:rFonts w:hint="eastAsia" w:ascii="宋体" w:hAnsi="宋体"/>
          <w:szCs w:val="21"/>
          <w:highlight w:val="none"/>
          <w:lang w:val="en-US" w:eastAsia="zh-CN"/>
        </w:rPr>
        <w:t>㎡</w:t>
      </w:r>
      <w:r>
        <w:rPr>
          <w:rFonts w:hint="eastAsia" w:ascii="宋体" w:hAnsi="宋体"/>
          <w:szCs w:val="21"/>
          <w:highlight w:val="none"/>
        </w:rPr>
        <w:t>，约有10多人办公。主楼为四层，1层为餐厅，2-4层为客房加会议室，办公楼为二层。</w:t>
      </w:r>
    </w:p>
    <w:p>
      <w:pPr>
        <w:spacing w:line="360" w:lineRule="auto"/>
        <w:ind w:firstLine="420" w:firstLineChars="200"/>
        <w:rPr>
          <w:rFonts w:ascii="宋体" w:hAnsi="宋体"/>
          <w:szCs w:val="21"/>
          <w:highlight w:val="none"/>
        </w:rPr>
      </w:pPr>
      <w:r>
        <w:rPr>
          <w:rFonts w:hint="eastAsia" w:ascii="宋体" w:hAnsi="宋体"/>
          <w:szCs w:val="21"/>
          <w:highlight w:val="none"/>
        </w:rPr>
        <w:t>2.2设备设施情况：</w:t>
      </w:r>
    </w:p>
    <w:p>
      <w:pPr>
        <w:spacing w:line="360" w:lineRule="auto"/>
        <w:ind w:firstLine="420" w:firstLineChars="200"/>
        <w:rPr>
          <w:rFonts w:hint="eastAsia" w:ascii="宋体" w:hAnsi="宋体"/>
          <w:szCs w:val="21"/>
          <w:highlight w:val="none"/>
        </w:rPr>
      </w:pPr>
      <w:r>
        <w:rPr>
          <w:rFonts w:hint="eastAsia" w:ascii="宋体" w:hAnsi="宋体"/>
          <w:szCs w:val="21"/>
          <w:highlight w:val="none"/>
        </w:rPr>
        <w:t>主要设备机房有：配电室、空调机房、生活水泵房、消防泵房、消防中控室等。</w:t>
      </w:r>
    </w:p>
    <w:p>
      <w:pPr>
        <w:pStyle w:val="11"/>
        <w:numPr>
          <w:ilvl w:val="0"/>
          <w:numId w:val="1"/>
        </w:numPr>
        <w:spacing w:line="360" w:lineRule="auto"/>
        <w:ind w:firstLineChars="0"/>
        <w:contextualSpacing/>
        <w:rPr>
          <w:rFonts w:hint="eastAsia" w:ascii="宋体" w:hAnsi="宋体"/>
          <w:b/>
          <w:szCs w:val="21"/>
          <w:highlight w:val="none"/>
        </w:rPr>
      </w:pPr>
      <w:r>
        <w:rPr>
          <w:rFonts w:ascii="宋体" w:hAnsi="宋体"/>
          <w:b/>
          <w:szCs w:val="21"/>
          <w:highlight w:val="none"/>
        </w:rPr>
        <w:t>商务要求</w:t>
      </w:r>
    </w:p>
    <w:p>
      <w:pPr>
        <w:spacing w:line="360" w:lineRule="auto"/>
        <w:contextualSpacing/>
        <w:rPr>
          <w:rFonts w:hint="eastAsia" w:ascii="宋体" w:hAnsi="宋体"/>
          <w:b/>
          <w:i/>
          <w:szCs w:val="21"/>
          <w:highlight w:val="none"/>
        </w:rPr>
      </w:pPr>
      <w:r>
        <w:rPr>
          <w:rFonts w:ascii="宋体" w:hAnsi="宋体"/>
          <w:b/>
          <w:szCs w:val="21"/>
          <w:highlight w:val="none"/>
        </w:rPr>
        <w:t>1. 交付（实施）的时间（期限）和地点（范围）</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项目名称:</w:t>
      </w:r>
      <w:r>
        <w:rPr>
          <w:rFonts w:hint="eastAsia" w:ascii="宋体" w:hAnsi="宋体"/>
          <w:kern w:val="0"/>
          <w:szCs w:val="21"/>
          <w:highlight w:val="none"/>
        </w:rPr>
        <w:t xml:space="preserve"> </w:t>
      </w:r>
      <w:r>
        <w:rPr>
          <w:rFonts w:hint="eastAsia" w:ascii="宋体" w:hAnsi="宋体"/>
          <w:szCs w:val="21"/>
          <w:highlight w:val="none"/>
        </w:rPr>
        <w:t>北京市房山区人民检察院2026年物业服务采购项目</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服务地点: </w:t>
      </w:r>
      <w:r>
        <w:rPr>
          <w:rFonts w:hint="eastAsia" w:ascii="宋体" w:hAnsi="宋体"/>
          <w:szCs w:val="21"/>
          <w:highlight w:val="none"/>
        </w:rPr>
        <w:t>北京市房山区良乡政通路14号；北京市房山区迎风街道燕房路101号</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服务期:</w:t>
      </w:r>
      <w:r>
        <w:rPr>
          <w:rFonts w:hint="eastAsia" w:ascii="宋体" w:hAnsi="宋体"/>
          <w:szCs w:val="21"/>
          <w:highlight w:val="none"/>
        </w:rPr>
        <w:t xml:space="preserve"> 自合同签订之日起壹年</w:t>
      </w:r>
    </w:p>
    <w:p>
      <w:pPr>
        <w:spacing w:line="360" w:lineRule="auto"/>
        <w:ind w:firstLine="420" w:firstLineChars="200"/>
        <w:rPr>
          <w:rFonts w:hint="eastAsia" w:ascii="宋体" w:hAnsi="宋体"/>
          <w:i/>
          <w:szCs w:val="21"/>
          <w:highlight w:val="none"/>
        </w:rPr>
      </w:pPr>
      <w:r>
        <w:rPr>
          <w:rFonts w:hint="eastAsia" w:ascii="宋体" w:hAnsi="宋体" w:cs="宋体"/>
          <w:szCs w:val="21"/>
          <w:highlight w:val="none"/>
        </w:rPr>
        <w:t>项目预算:</w:t>
      </w:r>
      <w:r>
        <w:rPr>
          <w:rFonts w:hint="eastAsia" w:ascii="宋体" w:hAnsi="宋体" w:cs="宋体"/>
          <w:szCs w:val="21"/>
          <w:highlight w:val="none"/>
          <w:lang w:val="en-US" w:eastAsia="zh-CN"/>
        </w:rPr>
        <w:t xml:space="preserve"> </w:t>
      </w:r>
      <w:r>
        <w:rPr>
          <w:rFonts w:hint="eastAsia" w:ascii="宋体" w:hAnsi="宋体"/>
          <w:szCs w:val="21"/>
          <w:highlight w:val="none"/>
          <w:lang w:val="en-US" w:eastAsia="zh-CN"/>
        </w:rPr>
        <w:t>207</w:t>
      </w:r>
      <w:r>
        <w:rPr>
          <w:rFonts w:hint="eastAsia" w:ascii="宋体" w:hAnsi="宋体"/>
          <w:szCs w:val="21"/>
          <w:highlight w:val="none"/>
        </w:rPr>
        <w:t>万元</w:t>
      </w:r>
    </w:p>
    <w:p>
      <w:pPr>
        <w:spacing w:line="360" w:lineRule="auto"/>
        <w:contextualSpacing/>
        <w:rPr>
          <w:rFonts w:hint="eastAsia" w:ascii="宋体" w:hAnsi="宋体"/>
          <w:b/>
          <w:szCs w:val="21"/>
          <w:highlight w:val="none"/>
        </w:rPr>
      </w:pPr>
    </w:p>
    <w:p>
      <w:pPr>
        <w:spacing w:line="360" w:lineRule="auto"/>
        <w:contextualSpacing/>
        <w:rPr>
          <w:rFonts w:hint="eastAsia" w:ascii="宋体" w:hAnsi="宋体"/>
          <w:b/>
          <w:szCs w:val="21"/>
          <w:highlight w:val="none"/>
        </w:rPr>
      </w:pPr>
      <w:r>
        <w:rPr>
          <w:rFonts w:ascii="宋体" w:hAnsi="宋体"/>
          <w:b/>
          <w:szCs w:val="21"/>
          <w:highlight w:val="none"/>
        </w:rPr>
        <w:t>2. 付款条件（进度和方式）</w:t>
      </w:r>
    </w:p>
    <w:p>
      <w:pPr>
        <w:pStyle w:val="6"/>
        <w:ind w:left="2" w:firstLine="420" w:firstLineChars="200"/>
        <w:jc w:val="left"/>
        <w:rPr>
          <w:rFonts w:hint="eastAsia" w:ascii="宋体" w:hAnsi="宋体"/>
          <w:sz w:val="21"/>
          <w:szCs w:val="21"/>
          <w:highlight w:val="none"/>
        </w:rPr>
      </w:pPr>
      <w:r>
        <w:rPr>
          <w:rFonts w:hint="eastAsia" w:ascii="宋体" w:hAnsi="宋体" w:cs="宋体"/>
          <w:bCs/>
          <w:sz w:val="21"/>
          <w:szCs w:val="21"/>
          <w:highlight w:val="none"/>
        </w:rPr>
        <w:t>物业服务费按季度结算，以转账/支票方式，凭中标人开具的正式发票，于每季度末支付本季度费用，如支付日期最后一日为国家法定节假日、公休日，则支付日期往后顺延。如有特殊情况，双方另行约定结算时间。</w:t>
      </w:r>
    </w:p>
    <w:p>
      <w:pPr>
        <w:pStyle w:val="11"/>
        <w:numPr>
          <w:ilvl w:val="0"/>
          <w:numId w:val="1"/>
        </w:numPr>
        <w:tabs>
          <w:tab w:val="left" w:pos="0"/>
        </w:tabs>
        <w:spacing w:line="360" w:lineRule="auto"/>
        <w:ind w:firstLineChars="0"/>
        <w:contextualSpacing/>
        <w:rPr>
          <w:rFonts w:hint="eastAsia" w:ascii="宋体" w:hAnsi="宋体"/>
          <w:b/>
          <w:szCs w:val="21"/>
          <w:highlight w:val="none"/>
        </w:rPr>
      </w:pPr>
      <w:r>
        <w:rPr>
          <w:rFonts w:ascii="宋体" w:hAnsi="宋体"/>
          <w:b/>
          <w:szCs w:val="21"/>
          <w:highlight w:val="none"/>
        </w:rPr>
        <w:t>技术要求</w:t>
      </w:r>
    </w:p>
    <w:p>
      <w:pPr>
        <w:spacing w:line="360" w:lineRule="auto"/>
        <w:contextualSpacing/>
        <w:rPr>
          <w:rFonts w:hint="eastAsia" w:ascii="宋体" w:hAnsi="宋体"/>
          <w:b/>
          <w:dstrike/>
          <w:color w:val="FF0000"/>
          <w:szCs w:val="21"/>
          <w:highlight w:val="none"/>
        </w:rPr>
      </w:pPr>
      <w:r>
        <w:rPr>
          <w:rFonts w:ascii="宋体" w:hAnsi="宋体"/>
          <w:b/>
          <w:szCs w:val="21"/>
          <w:highlight w:val="none"/>
        </w:rPr>
        <w:t>1. 基本要求</w:t>
      </w:r>
    </w:p>
    <w:p>
      <w:pPr>
        <w:spacing w:line="360" w:lineRule="auto"/>
        <w:contextualSpacing/>
        <w:rPr>
          <w:rFonts w:hint="eastAsia" w:ascii="宋体" w:hAnsi="宋体"/>
          <w:szCs w:val="21"/>
          <w:highlight w:val="none"/>
        </w:rPr>
      </w:pPr>
      <w:r>
        <w:rPr>
          <w:rFonts w:ascii="宋体" w:hAnsi="宋体"/>
          <w:b/>
          <w:szCs w:val="21"/>
          <w:highlight w:val="none"/>
        </w:rPr>
        <w:t>1.1 需执行的国家相关标准、行业标准、地方标准或者其他标准、规范</w:t>
      </w:r>
    </w:p>
    <w:p>
      <w:pPr>
        <w:pStyle w:val="12"/>
        <w:spacing w:before="0" w:beforeAutospacing="0" w:after="0" w:afterAutospacing="0" w:line="360" w:lineRule="auto"/>
        <w:ind w:firstLine="420" w:firstLineChars="200"/>
        <w:rPr>
          <w:rFonts w:hint="eastAsia" w:cs="Times New Roman"/>
          <w:kern w:val="2"/>
          <w:sz w:val="21"/>
          <w:szCs w:val="21"/>
          <w:highlight w:val="none"/>
        </w:rPr>
      </w:pPr>
      <w:r>
        <w:rPr>
          <w:rFonts w:hint="eastAsia" w:cs="Times New Roman"/>
          <w:kern w:val="2"/>
          <w:sz w:val="21"/>
          <w:szCs w:val="21"/>
          <w:highlight w:val="none"/>
        </w:rPr>
        <w:t>市机关事务局</w:t>
      </w:r>
      <w:r>
        <w:rPr>
          <w:rFonts w:cs="Times New Roman"/>
          <w:kern w:val="2"/>
          <w:sz w:val="21"/>
          <w:szCs w:val="21"/>
          <w:highlight w:val="none"/>
        </w:rPr>
        <w:t xml:space="preserve"> </w:t>
      </w:r>
      <w:r>
        <w:rPr>
          <w:rFonts w:hint="eastAsia" w:cs="Times New Roman"/>
          <w:kern w:val="2"/>
          <w:sz w:val="21"/>
          <w:szCs w:val="21"/>
          <w:highlight w:val="none"/>
        </w:rPr>
        <w:t>市发展改革委</w:t>
      </w:r>
      <w:r>
        <w:rPr>
          <w:rFonts w:hint="eastAsia" w:cs="Times New Roman"/>
          <w:kern w:val="2"/>
          <w:sz w:val="21"/>
          <w:szCs w:val="21"/>
          <w:highlight w:val="none"/>
          <w:lang w:val="en-US" w:eastAsia="zh-CN"/>
        </w:rPr>
        <w:t xml:space="preserve"> </w:t>
      </w:r>
      <w:r>
        <w:rPr>
          <w:rFonts w:hint="eastAsia" w:cs="Times New Roman"/>
          <w:kern w:val="2"/>
          <w:sz w:val="21"/>
          <w:szCs w:val="21"/>
          <w:highlight w:val="none"/>
        </w:rPr>
        <w:t>市财政局关于印发《关于在物业管理服务政府采购项目中增加节约型公共机构建设相关要求的指导意见》的通知。</w:t>
      </w:r>
    </w:p>
    <w:p>
      <w:pPr>
        <w:pStyle w:val="12"/>
        <w:spacing w:before="0" w:beforeAutospacing="0" w:after="0" w:afterAutospacing="0" w:line="360" w:lineRule="auto"/>
        <w:ind w:firstLine="420" w:firstLineChars="200"/>
        <w:rPr>
          <w:rFonts w:hint="eastAsia" w:cs="Times New Roman"/>
          <w:kern w:val="2"/>
          <w:sz w:val="21"/>
          <w:szCs w:val="21"/>
          <w:highlight w:val="none"/>
        </w:rPr>
      </w:pPr>
      <w:r>
        <w:rPr>
          <w:rFonts w:hint="eastAsia"/>
          <w:sz w:val="21"/>
          <w:szCs w:val="21"/>
          <w:highlight w:val="none"/>
        </w:rPr>
        <w:t>为在项目中充分落实《政府采购法》规定的“政府采购应当有助于实现国家的经济和社会发展政策目标”等相关要求，以项目为载体推动北京市环境社会治理</w:t>
      </w:r>
      <w:r>
        <w:rPr>
          <w:sz w:val="21"/>
          <w:szCs w:val="21"/>
          <w:highlight w:val="none"/>
        </w:rPr>
        <w:t>(ESG)</w:t>
      </w:r>
      <w:r>
        <w:rPr>
          <w:rFonts w:hint="eastAsia"/>
          <w:sz w:val="21"/>
          <w:szCs w:val="21"/>
          <w:highlight w:val="none"/>
        </w:rPr>
        <w:t>体系高质量发展，请投标人提供在本项目中落实</w:t>
      </w:r>
      <w:r>
        <w:rPr>
          <w:sz w:val="21"/>
          <w:szCs w:val="21"/>
          <w:highlight w:val="none"/>
        </w:rPr>
        <w:t>ESG</w:t>
      </w:r>
      <w:r>
        <w:rPr>
          <w:rFonts w:hint="eastAsia"/>
          <w:sz w:val="21"/>
          <w:szCs w:val="21"/>
          <w:highlight w:val="none"/>
        </w:rPr>
        <w:t>理念的工作措施。</w:t>
      </w:r>
    </w:p>
    <w:p>
      <w:pPr>
        <w:pStyle w:val="7"/>
        <w:adjustRightInd w:val="0"/>
        <w:snapToGrid w:val="0"/>
        <w:spacing w:line="360" w:lineRule="auto"/>
        <w:ind w:firstLine="422" w:firstLineChars="200"/>
        <w:jc w:val="left"/>
        <w:rPr>
          <w:rFonts w:hAnsi="宋体" w:cs="宋体"/>
          <w:b/>
          <w:szCs w:val="21"/>
          <w:highlight w:val="none"/>
        </w:rPr>
      </w:pPr>
      <w:r>
        <w:rPr>
          <w:rFonts w:hAnsi="宋体" w:cs="宋体"/>
          <w:b/>
          <w:szCs w:val="21"/>
          <w:highlight w:val="none"/>
        </w:rPr>
        <w:t>（一）国家及北京市有关政策</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1.《物业管理条例》中华人民共和国国务院令第379号</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2.《保安服务管理条例》中华人民共和国国务院令第564号</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3.《机关、团体、企业、事业单位消防安全管理规定》中华人民共和国公安部第61号令</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4.《消防监督检查规定》中华人民共和国公安部令第107号</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5.《城市生活垃圾管理办法》中华人民共和国建设部令第157号</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6.《政府采购需求管理办法》(财库〔2021〕22号)</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7.《关于促进政府采购公平竞争优化营商环境的通知》（财库〔2019〕38号）</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8.《关于进一步提高政府采购透明度和采购效率相关事项的通知》（财办库〔2023〕243号）</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9.《北京市物业管理条例》（2024修正）</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10.《北京市财政局关于印发&lt;北京市政府采购负面清单&gt;的通知》（京财采购〔2020〕1345号）</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11.《北京市财政局关于落实好政府采购支持中小企业发展的通知（京财采购〔2022〕1143号）</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12.《北京市机关事务管理局 北京市财政局等六部门关于印发&lt;北京市节约型机关创建行动方案&gt;的通知》(京机管发〔2020〕15号)</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13.《北京市住建委关于印发&lt;房屋建筑安全管理员管理办法&gt;的通知》（京建法〔2017〕30号）</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14.《北京市发展改革委 北京市城市管理委员会等四部门&lt;关于印发北京市党政机关、国有企事业单位办公建筑外观照明强化节能导则(试行)&gt;的通知》(京发改〔2022〕88号)</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15.《北京市发展改革委 北京市住建委等四部门&lt;关于印发北京市公共场所室内温度控制导则（试行）&gt;的通知》(京发改〔2022〕1673号)</w:t>
      </w:r>
    </w:p>
    <w:p>
      <w:pPr>
        <w:pStyle w:val="7"/>
        <w:adjustRightInd w:val="0"/>
        <w:snapToGrid w:val="0"/>
        <w:spacing w:line="360" w:lineRule="auto"/>
        <w:ind w:firstLine="422" w:firstLineChars="200"/>
        <w:jc w:val="left"/>
        <w:rPr>
          <w:rFonts w:hAnsi="宋体" w:cs="宋体"/>
          <w:b/>
          <w:szCs w:val="21"/>
          <w:highlight w:val="none"/>
        </w:rPr>
      </w:pPr>
      <w:r>
        <w:rPr>
          <w:rFonts w:hAnsi="宋体" w:cs="宋体"/>
          <w:b/>
          <w:szCs w:val="21"/>
          <w:highlight w:val="none"/>
        </w:rPr>
        <w:t>（二）国家相关标准</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1.国家标准《机关办公区域物业服务监管和评价规范》GBT 43542-2023</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2.国家标准《二次供水设施卫生规范》GB17051-1997</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3.国家标准《建筑消防设施的维护管理》GB25201-2010</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4.国家标准《空调通风系统清洗规范》GB19210-2003</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5.国家标准《空调通风系统运行管理标准》GB50365-2019</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6.特种设备安全技术规范《电梯维护保养规则》TSG T5002-2017</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 xml:space="preserve">7.国家标准《火灾自动报警系统施工及验收规范》GB50166-2007 </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8.国家标准《泡沫灭火系统施工及验收规范》GB50281-2006</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9.国家标准《生活垃圾分类标志》GB/T 19095-2019</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10.国家标准《道路交通标志和标线》GB5768.2-2022</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11.国家标准《室内空气质量标准》GB／T 18883-2002</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12.国家标准《工业锅炉水质》GB/T1576-2018</w:t>
      </w:r>
    </w:p>
    <w:p>
      <w:pPr>
        <w:pStyle w:val="7"/>
        <w:adjustRightInd w:val="0"/>
        <w:snapToGrid w:val="0"/>
        <w:spacing w:line="360" w:lineRule="auto"/>
        <w:ind w:firstLine="422" w:firstLineChars="200"/>
        <w:jc w:val="left"/>
        <w:rPr>
          <w:rFonts w:hAnsi="宋体" w:cs="宋体"/>
          <w:b/>
          <w:szCs w:val="21"/>
          <w:highlight w:val="none"/>
        </w:rPr>
      </w:pPr>
      <w:r>
        <w:rPr>
          <w:rFonts w:hAnsi="宋体" w:cs="宋体"/>
          <w:b/>
          <w:szCs w:val="21"/>
          <w:highlight w:val="none"/>
        </w:rPr>
        <w:t>（三）北京市相关标准</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1.物业</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1.1北京市地方标准《住宅物业服务标准》DB11/T751-2010</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2.保安</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2.1北京市地方标准《保安服务规范 住宅物业》DB11/T 487-2022</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3.给排水</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3.1北京市地方标准《住宅二次供水设施设备运行维护技术规程》DB11/T 118-2016</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3.2北京市地方标准《公共建筑给水排水系统节能运行管理技术规程》DB11/T 1248-2015</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3.3北京市地方标准《城镇排水泵站运行与维护技术规程》DB11/T 2113-2023</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3.4北京市地方标准《城镇排水管道检查技术规程》DB11/T1594-2018</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3.5北京市地方标准《城镇排水管道维护技术规程》DB11/T1590-2018</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4.空调维护</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4.1北京市地方标准《公共建筑空调制冷系统节能运行管理技术规程》DB11/T 1130-2014</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4.2北京市地方标准《集中空调通风系统卫生管理规范》DB11/T 485-2020</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5.电梯维护</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5.1北京市地方标准《电梯日常维护保养规则》DB11/T 418-2019</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5.2北京市地方标准《电梯应急呼叫及应急照明系统技术要求》DB11/T 1656-2019</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5.3北京市地方标准《电梯安装、改造、重大修理和维护保养自检规则》DB11/T 420-2019</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5.4北京市地方标准《电梯节能监测》DB11/T 1161-2015</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5.5北京市地方标准《在用电梯安全风险评估规范》DB11/T 1520-2022</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6.照明</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6.1北京市地方标准《公共建筑室内照明系统节能监测》DB11/T 1854-2021</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6.2北京市地方标准《城市道路照明设施运行维护规范》DB11/T 1876-2021</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7.消防</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7.1北京市地方标准《建筑消防设施检测服务规范》DB11/T 3034-2023</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7.2北京市地方标准《消防控制室火警处置规范》DB11/T 2104-2023</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8.垃圾清运</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8.1北京市地方标准《生活垃圾收集运输管理规范》DB11/T 354-2023</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8.2北京市地方标准《生活垃圾收集运输节能规范》DB11/T 1694-2019</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9园林绿化</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9.1北京市地方标准《北京城市园林绿化养护管理标准》DB11/T2013-2003</w:t>
      </w:r>
      <w:r>
        <w:rPr>
          <w:szCs w:val="21"/>
          <w:highlight w:val="none"/>
        </w:rPr>
        <w:t>‎</w:t>
      </w:r>
    </w:p>
    <w:p>
      <w:pPr>
        <w:pStyle w:val="5"/>
        <w:snapToGrid w:val="0"/>
        <w:spacing w:line="360" w:lineRule="auto"/>
        <w:ind w:left="420" w:firstLine="420" w:firstLineChars="200"/>
        <w:rPr>
          <w:rFonts w:hint="eastAsia" w:ascii="宋体" w:hAnsi="宋体" w:cs="宋体"/>
          <w:bCs/>
          <w:sz w:val="21"/>
          <w:szCs w:val="21"/>
          <w:highlight w:val="none"/>
        </w:rPr>
      </w:pPr>
      <w:r>
        <w:rPr>
          <w:rFonts w:hint="eastAsia" w:ascii="宋体" w:hAnsi="宋体" w:cs="宋体"/>
          <w:bCs/>
          <w:sz w:val="21"/>
          <w:szCs w:val="21"/>
          <w:highlight w:val="none"/>
        </w:rPr>
        <w:t>注：服务标准涉及的国家标准及北京市标准有更新的，执行最新标准。</w:t>
      </w:r>
    </w:p>
    <w:p>
      <w:pPr>
        <w:adjustRightInd w:val="0"/>
        <w:snapToGrid w:val="0"/>
        <w:spacing w:line="360" w:lineRule="auto"/>
        <w:ind w:firstLine="422" w:firstLineChars="200"/>
        <w:rPr>
          <w:rFonts w:hint="eastAsia" w:ascii="宋体" w:hAnsi="宋体"/>
          <w:b/>
          <w:bCs/>
          <w:szCs w:val="21"/>
          <w:highlight w:val="none"/>
        </w:rPr>
      </w:pPr>
      <w:r>
        <w:rPr>
          <w:rFonts w:hint="eastAsia" w:ascii="宋体" w:hAnsi="宋体"/>
          <w:b/>
          <w:bCs/>
          <w:szCs w:val="21"/>
          <w:highlight w:val="none"/>
        </w:rPr>
        <w:t>（四）公共机构节约能源资源相关制度标准目录</w:t>
      </w:r>
    </w:p>
    <w:p>
      <w:pPr>
        <w:adjustRightInd w:val="0"/>
        <w:snapToGrid w:val="0"/>
        <w:spacing w:line="360" w:lineRule="auto"/>
        <w:ind w:firstLine="422" w:firstLineChars="200"/>
        <w:rPr>
          <w:rFonts w:hint="eastAsia" w:ascii="宋体" w:hAnsi="宋体"/>
          <w:b/>
          <w:bCs/>
          <w:szCs w:val="21"/>
          <w:highlight w:val="none"/>
        </w:rPr>
      </w:pPr>
      <w:r>
        <w:rPr>
          <w:rFonts w:hint="eastAsia" w:ascii="宋体" w:hAnsi="宋体"/>
          <w:b/>
          <w:bCs/>
          <w:szCs w:val="21"/>
          <w:highlight w:val="none"/>
        </w:rPr>
        <w:t>节能管理</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1.《中华人民共和国节约能源法》</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2.《公共机构节能条例》</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3.《北京市实施(中华人民共和国节约能源法》办法》</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4.《北京市公共机构节约能源资源工作规范》(京机管发[2022]17号)</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5.《北京市党政机关、国有企事业单位办公建筑外观照明强化节能导则(试行)》(京发改[2022188号)</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6.《北京市公共场所室内温度控制导则(试行)》(京发改[202211673 号)</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7.北京市地方标准《公共建筑空调制冷系统节能运行管理技术规程》(DB11/T 1130-2014)</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8.北京市地方标准《电梯节能监测》(DB11/T 1161-2015)9.北京市地方标准《公共建筑室内照明系统节能监测》(DB11/T 1854-2021)</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10.北京市地方标准《城市道路照明设施运行维护规范》(DB11/T 1876-2021)</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11.北京市地方标准《高等学校能源消耗定额》(DB11/T1267-2021)</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12.北京市地方标准《体育场馆能源消耗定额》(DB11/T1296-2021)</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13.北京市地方标准《博物馆与科技馆能源消耗定额》(DB11/T 1957-2022)</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14.北京市地方标准《党政机关能源消耗定额》(DB11/T1958-2022)</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15.北京市地方标准《小学能源消耗定额》(DB11/T 1984-2022)</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16.北京市地方标准《幼儿园能源消耗定额》(DB11/T 1985-2022)</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17.北京市地方标准《中学能源消耗定额》(DB11/T 1986-2022)</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18.团体标准《北京市公立医院能源资源消耗定额》(T/NAHIEM 55-2022)</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19.北京市地方标准《文化场馆能源消耗定额》(DB11/T1268-2023)</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20.北京市地方标准《公共机构能源资源消费统计管理规范》(DB11/T 2223-2024)</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21.北京市地方标准《能源计量器具配备和管理规范机关》(DB11/T 2344-2024)</w:t>
      </w:r>
    </w:p>
    <w:p>
      <w:pPr>
        <w:adjustRightInd w:val="0"/>
        <w:snapToGrid w:val="0"/>
        <w:spacing w:line="360" w:lineRule="auto"/>
        <w:ind w:firstLine="422" w:firstLineChars="200"/>
        <w:rPr>
          <w:rFonts w:hint="eastAsia" w:ascii="宋体" w:hAnsi="宋体"/>
          <w:b/>
          <w:bCs/>
          <w:szCs w:val="21"/>
          <w:highlight w:val="none"/>
        </w:rPr>
      </w:pPr>
      <w:r>
        <w:rPr>
          <w:rFonts w:hint="eastAsia" w:ascii="宋体" w:hAnsi="宋体"/>
          <w:b/>
          <w:bCs/>
          <w:szCs w:val="21"/>
          <w:highlight w:val="none"/>
        </w:rPr>
        <w:t>节水管理</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1.《中华人民共和国水法》</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2.《节约用水条例》</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3.《公共机构节约用水管理办法》(国管节能[2024]274号)</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4.《北京市节水条例》</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5.《公共机构节水管理规范》</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6.北京市地方标准《公共建筑给水排水系统节能运行管理技术规程》(DB11/T 1248-2015)</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7.北京市地方标准《用水定额 第 28 部分:机关》(DB11/T1764.28-2021)</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8.北京市地方标准《用水定额 第 37 部分:博物馆》(DB11/T1764.37-2021)</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9.北京市地方标准《用水定额 第26 部分:学校》(DB11/T1764.26-2022)</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10.北京市地方标准《用水定额 第27 部分:医院》(DB11/T1764.27-2022)</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11.北京市地方标准《用水定额 第38 部分:体育场馆》(DB11/T1764.38-2023)</w:t>
      </w:r>
    </w:p>
    <w:p>
      <w:pPr>
        <w:adjustRightInd w:val="0"/>
        <w:snapToGrid w:val="0"/>
        <w:spacing w:line="360" w:lineRule="auto"/>
        <w:ind w:firstLine="422" w:firstLineChars="200"/>
        <w:rPr>
          <w:rFonts w:hint="eastAsia" w:ascii="宋体" w:hAnsi="宋体"/>
          <w:b/>
          <w:bCs/>
          <w:szCs w:val="21"/>
          <w:highlight w:val="none"/>
        </w:rPr>
      </w:pPr>
      <w:r>
        <w:rPr>
          <w:rFonts w:hint="eastAsia" w:ascii="宋体" w:hAnsi="宋体"/>
          <w:b/>
          <w:bCs/>
          <w:szCs w:val="21"/>
          <w:highlight w:val="none"/>
        </w:rPr>
        <w:t>反食品浪费</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1.《中华人民共和国反食品浪费法》</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2.《北京市反食品浪费规定》</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3.《关于坚决制止餐饮浪费行为的通知》(京机管发[2020]20号)</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4.《关于深入推进“光盘行动”的工作意见》(京机管发[2020]21号)</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5.《关于印发(北京市机关食堂反食品浪费工作成效评估和通报制度实施方案》的通知》(京机管发(2023]45 号)</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6.《关于印发〈机关食堂制止餐饮浪费 践行“光盘行动”指引》的通知》</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7.北京市地方标准《机关食堂反食品浪费管理规范》(DB11/T 2343-2024)</w:t>
      </w:r>
    </w:p>
    <w:p>
      <w:pPr>
        <w:adjustRightInd w:val="0"/>
        <w:snapToGrid w:val="0"/>
        <w:spacing w:line="360" w:lineRule="auto"/>
        <w:ind w:firstLine="422" w:firstLineChars="200"/>
        <w:rPr>
          <w:rFonts w:hint="eastAsia" w:ascii="宋体" w:hAnsi="宋体"/>
          <w:b/>
          <w:bCs/>
          <w:szCs w:val="21"/>
          <w:highlight w:val="none"/>
        </w:rPr>
      </w:pPr>
      <w:r>
        <w:rPr>
          <w:rFonts w:hint="eastAsia" w:ascii="宋体" w:hAnsi="宋体"/>
          <w:b/>
          <w:bCs/>
          <w:szCs w:val="21"/>
          <w:highlight w:val="none"/>
        </w:rPr>
        <w:t>生活垃圾分类</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1.《中华人民共和国固体废物污染环境防治法》</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2.《北京市生活垃圾管理条例》(2020年修订)</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3.《关于印发〈北京市党政机关生活垃圾分类工作实施方案》的通知》(京机管发[202011号)</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4.《关于党政机关带头落实塑料污染治理工作的通知》(京机管发[202111号)</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5.北京市地方标准《生活垃圾收集运输节能规范》(DB11/T1694-2019)</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6.北京市地方标准《餐厨垃圾源头减量操作要求》(DB11/T2033-2022)</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7.北京市地方标准《生活垃圾收集运输管理规范》(DB11/T354-2023)</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8.《北京市可回收物指导目录》</w:t>
      </w:r>
    </w:p>
    <w:p>
      <w:pPr>
        <w:adjustRightInd w:val="0"/>
        <w:snapToGrid w:val="0"/>
        <w:spacing w:line="360" w:lineRule="auto"/>
        <w:ind w:firstLine="420" w:firstLineChars="200"/>
        <w:rPr>
          <w:rFonts w:hint="eastAsia" w:ascii="宋体" w:hAnsi="宋体"/>
          <w:szCs w:val="21"/>
          <w:highlight w:val="none"/>
        </w:rPr>
      </w:pPr>
    </w:p>
    <w:p>
      <w:pPr>
        <w:spacing w:line="360" w:lineRule="auto"/>
        <w:contextualSpacing/>
        <w:rPr>
          <w:rFonts w:hint="eastAsia" w:ascii="宋体" w:hAnsi="宋体"/>
          <w:b/>
          <w:szCs w:val="21"/>
          <w:highlight w:val="none"/>
        </w:rPr>
      </w:pPr>
      <w:r>
        <w:rPr>
          <w:rFonts w:ascii="宋体" w:hAnsi="宋体"/>
          <w:b/>
          <w:szCs w:val="21"/>
          <w:highlight w:val="none"/>
        </w:rPr>
        <w:t>2. 服务内容及要求/货物技术要求</w:t>
      </w:r>
    </w:p>
    <w:p>
      <w:pPr>
        <w:pStyle w:val="7"/>
        <w:adjustRightInd w:val="0"/>
        <w:snapToGrid w:val="0"/>
        <w:spacing w:line="360" w:lineRule="auto"/>
        <w:jc w:val="left"/>
        <w:rPr>
          <w:rFonts w:hAnsi="宋体"/>
          <w:b/>
          <w:szCs w:val="21"/>
          <w:highlight w:val="none"/>
        </w:rPr>
      </w:pPr>
      <w:r>
        <w:rPr>
          <w:rFonts w:hAnsi="宋体"/>
          <w:b/>
          <w:szCs w:val="21"/>
          <w:highlight w:val="none"/>
        </w:rPr>
        <w:t>2.1服务内容及服务标准</w:t>
      </w:r>
    </w:p>
    <w:p>
      <w:pPr>
        <w:pStyle w:val="7"/>
        <w:adjustRightInd w:val="0"/>
        <w:snapToGrid w:val="0"/>
        <w:spacing w:line="360" w:lineRule="auto"/>
        <w:ind w:firstLine="422" w:firstLineChars="200"/>
        <w:jc w:val="left"/>
        <w:rPr>
          <w:rFonts w:hAnsi="宋体" w:cs="宋体"/>
          <w:b/>
          <w:szCs w:val="21"/>
          <w:highlight w:val="none"/>
        </w:rPr>
      </w:pPr>
      <w:r>
        <w:rPr>
          <w:rFonts w:hAnsi="宋体" w:cs="宋体"/>
          <w:b/>
          <w:szCs w:val="21"/>
          <w:highlight w:val="none"/>
        </w:rPr>
        <w:t>（一）基本服务</w:t>
      </w:r>
    </w:p>
    <w:p>
      <w:pPr>
        <w:pStyle w:val="5"/>
        <w:snapToGrid w:val="0"/>
        <w:spacing w:line="360" w:lineRule="auto"/>
        <w:ind w:firstLine="422" w:firstLineChars="200"/>
        <w:rPr>
          <w:rFonts w:hint="eastAsia" w:ascii="宋体" w:hAnsi="宋体" w:cs="宋体"/>
          <w:sz w:val="21"/>
          <w:szCs w:val="21"/>
          <w:highlight w:val="none"/>
        </w:rPr>
      </w:pPr>
      <w:r>
        <w:rPr>
          <w:rFonts w:hint="eastAsia" w:ascii="宋体" w:hAnsi="宋体" w:cs="宋体"/>
          <w:b/>
          <w:sz w:val="21"/>
          <w:szCs w:val="21"/>
          <w:highlight w:val="none"/>
        </w:rPr>
        <w:t>1.服务内容</w:t>
      </w:r>
      <w:r>
        <w:rPr>
          <w:rFonts w:hint="eastAsia" w:ascii="宋体" w:hAnsi="宋体" w:cs="宋体"/>
          <w:sz w:val="21"/>
          <w:szCs w:val="21"/>
          <w:highlight w:val="none"/>
        </w:rPr>
        <w:t>：</w:t>
      </w:r>
    </w:p>
    <w:p>
      <w:pPr>
        <w:pStyle w:val="5"/>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目标与责任、服务人员要求、保密和思想政治教育、档案管理、服务改进、重大活动后勤保障、应急保障预案、服务方案及工作制度、信报服务、服务热线及紧急维修。</w:t>
      </w:r>
    </w:p>
    <w:p>
      <w:pPr>
        <w:autoSpaceDE w:val="0"/>
        <w:spacing w:line="360" w:lineRule="auto"/>
        <w:ind w:firstLine="420" w:firstLineChars="200"/>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制订物业服务工作计划并组织实施，根据法律、法规和管理规约的授权制订物业服务的有关制度和岗位职责。</w:t>
      </w:r>
    </w:p>
    <w:p>
      <w:pPr>
        <w:autoSpaceDE w:val="0"/>
        <w:spacing w:line="360" w:lineRule="auto"/>
        <w:ind w:firstLine="420" w:firstLineChars="200"/>
        <w:rPr>
          <w:rFonts w:hint="eastAsia" w:ascii="宋体" w:hAnsi="宋体"/>
          <w:szCs w:val="21"/>
          <w:highlight w:val="none"/>
        </w:rPr>
      </w:pPr>
      <w:r>
        <w:rPr>
          <w:rFonts w:ascii="宋体" w:hAnsi="宋体"/>
          <w:szCs w:val="21"/>
          <w:highlight w:val="none"/>
        </w:rPr>
        <w:t>1.2</w:t>
      </w:r>
      <w:r>
        <w:rPr>
          <w:rFonts w:hint="eastAsia" w:ascii="宋体" w:hAnsi="宋体"/>
          <w:szCs w:val="21"/>
          <w:highlight w:val="none"/>
        </w:rPr>
        <w:t>负责本物业管理区域内房屋建筑及场地的检查维修和日常养护管理、设备设施运行和养护维修管理、水电综合维护维修、每日24小时配电室值班运行管理、每日24小时消防中控值班运行监管、空调运行季值班运行与巡检、供暖季换热站24小时运行值班维护与巡检、电梯日常监管等。</w:t>
      </w:r>
    </w:p>
    <w:p>
      <w:pPr>
        <w:autoSpaceDE w:val="0"/>
        <w:spacing w:line="360" w:lineRule="auto"/>
        <w:ind w:firstLine="420" w:firstLineChars="200"/>
        <w:rPr>
          <w:rFonts w:hint="eastAsia" w:ascii="宋体" w:hAnsi="宋体"/>
          <w:szCs w:val="21"/>
          <w:highlight w:val="none"/>
        </w:rPr>
      </w:pPr>
      <w:r>
        <w:rPr>
          <w:rFonts w:ascii="宋体" w:hAnsi="宋体"/>
          <w:szCs w:val="21"/>
          <w:highlight w:val="none"/>
        </w:rPr>
        <w:t>1.3</w:t>
      </w:r>
      <w:r>
        <w:rPr>
          <w:rFonts w:hint="eastAsia" w:ascii="宋体" w:hAnsi="宋体"/>
          <w:szCs w:val="21"/>
          <w:highlight w:val="none"/>
        </w:rPr>
        <w:t>负责绿地、景观的养护和管理。</w:t>
      </w:r>
    </w:p>
    <w:p>
      <w:pPr>
        <w:autoSpaceDE w:val="0"/>
        <w:spacing w:line="360" w:lineRule="auto"/>
        <w:ind w:firstLine="420" w:firstLineChars="200"/>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4负责室内公共区域卫生服务，包括物业共用部位、公共区域的清洁卫生（含部分入室）、垃圾清运至暂存地、室外清扫、冬季铲冰除雪等。</w:t>
      </w:r>
    </w:p>
    <w:p>
      <w:pPr>
        <w:autoSpaceDE w:val="0"/>
        <w:spacing w:line="360" w:lineRule="auto"/>
        <w:ind w:firstLine="420" w:firstLineChars="200"/>
        <w:rPr>
          <w:rFonts w:hint="eastAsia" w:ascii="宋体" w:hAnsi="宋体"/>
          <w:szCs w:val="21"/>
          <w:highlight w:val="none"/>
        </w:rPr>
      </w:pPr>
      <w:r>
        <w:rPr>
          <w:rFonts w:ascii="宋体" w:hAnsi="宋体"/>
          <w:szCs w:val="21"/>
          <w:highlight w:val="none"/>
        </w:rPr>
        <w:t>1.5</w:t>
      </w:r>
      <w:r>
        <w:rPr>
          <w:rFonts w:hint="eastAsia" w:ascii="宋体" w:hAnsi="宋体"/>
          <w:szCs w:val="21"/>
          <w:highlight w:val="none"/>
        </w:rPr>
        <w:t>.负责协助维护公共秩序和协助做好安全防范工作，包括物业服务区域公共秩序维护、每日24小时消防中控值班运行监管等，负责制定预防事故和现场秩序的应急预案及定期进行演练，并采取措施实施防范。</w:t>
      </w:r>
    </w:p>
    <w:p>
      <w:pPr>
        <w:autoSpaceDE w:val="0"/>
        <w:spacing w:line="360" w:lineRule="auto"/>
        <w:ind w:firstLine="420" w:firstLineChars="200"/>
        <w:rPr>
          <w:rFonts w:hint="eastAsia" w:ascii="宋体" w:hAnsi="宋体"/>
          <w:szCs w:val="21"/>
          <w:highlight w:val="none"/>
        </w:rPr>
      </w:pPr>
      <w:r>
        <w:rPr>
          <w:rFonts w:ascii="宋体" w:hAnsi="宋体"/>
          <w:szCs w:val="21"/>
          <w:highlight w:val="none"/>
        </w:rPr>
        <w:t>1.6</w:t>
      </w:r>
      <w:r>
        <w:rPr>
          <w:rFonts w:hint="eastAsia" w:ascii="宋体" w:hAnsi="宋体"/>
          <w:szCs w:val="21"/>
          <w:highlight w:val="none"/>
        </w:rPr>
        <w:t>负责按照采购人要求实施会议服务、活动接待等，会议服务用品由采购人提供。</w:t>
      </w:r>
    </w:p>
    <w:p>
      <w:pPr>
        <w:pStyle w:val="5"/>
        <w:snapToGrid w:val="0"/>
        <w:spacing w:line="360" w:lineRule="auto"/>
        <w:ind w:firstLine="420" w:firstLineChars="200"/>
        <w:rPr>
          <w:rFonts w:hint="eastAsia" w:ascii="宋体" w:hAnsi="宋体"/>
          <w:sz w:val="21"/>
          <w:szCs w:val="21"/>
          <w:highlight w:val="none"/>
        </w:rPr>
      </w:pPr>
      <w:r>
        <w:rPr>
          <w:rFonts w:ascii="宋体" w:hAnsi="宋体"/>
          <w:sz w:val="21"/>
          <w:szCs w:val="21"/>
          <w:highlight w:val="none"/>
        </w:rPr>
        <w:t>1.7</w:t>
      </w:r>
      <w:r>
        <w:rPr>
          <w:rFonts w:hint="eastAsia" w:ascii="宋体" w:hAnsi="宋体"/>
          <w:sz w:val="21"/>
          <w:szCs w:val="21"/>
          <w:highlight w:val="none"/>
        </w:rPr>
        <w:t>负责法律法规规定的及甲乙双方约定的其他物业服务内容。</w:t>
      </w:r>
    </w:p>
    <w:p>
      <w:pPr>
        <w:tabs>
          <w:tab w:val="left" w:pos="8399"/>
        </w:tabs>
        <w:spacing w:line="360" w:lineRule="auto"/>
        <w:ind w:right="88" w:rightChars="42" w:firstLine="420" w:firstLineChars="200"/>
        <w:rPr>
          <w:rFonts w:ascii="宋体"/>
          <w:szCs w:val="21"/>
          <w:highlight w:val="none"/>
        </w:rPr>
      </w:pPr>
      <w:r>
        <w:rPr>
          <w:rFonts w:hint="eastAsia" w:ascii="宋体"/>
          <w:szCs w:val="21"/>
          <w:highlight w:val="none"/>
        </w:rPr>
        <w:t>1.8在项目物业管理中推行绿色办公、倡导节能节水、反食品浪费、实现生活垃圾分类管理目标和服务要求；定期开展宣传教育做到节能节资，达到各项管理指标。</w:t>
      </w:r>
    </w:p>
    <w:p>
      <w:pPr>
        <w:spacing w:line="360" w:lineRule="auto"/>
        <w:rPr>
          <w:szCs w:val="21"/>
          <w:highlight w:val="none"/>
        </w:rPr>
      </w:pPr>
    </w:p>
    <w:p>
      <w:pPr>
        <w:tabs>
          <w:tab w:val="left" w:pos="8399"/>
        </w:tabs>
        <w:spacing w:line="360" w:lineRule="auto"/>
        <w:ind w:right="88" w:rightChars="42" w:firstLine="422" w:firstLineChars="200"/>
        <w:rPr>
          <w:rFonts w:hint="eastAsia" w:ascii="宋体" w:hAnsi="宋体"/>
          <w:szCs w:val="21"/>
          <w:highlight w:val="none"/>
        </w:rPr>
      </w:pPr>
      <w:r>
        <w:rPr>
          <w:rFonts w:hint="eastAsia" w:ascii="宋体" w:hAnsi="宋体"/>
          <w:b/>
          <w:szCs w:val="21"/>
          <w:highlight w:val="none"/>
        </w:rPr>
        <w:t>2.服务标准</w:t>
      </w:r>
      <w:r>
        <w:rPr>
          <w:rFonts w:hint="eastAsia" w:ascii="宋体" w:hAnsi="宋体"/>
          <w:szCs w:val="21"/>
          <w:highlight w:val="none"/>
        </w:rPr>
        <w:t>：</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2.1目标与责任</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2.1.1结合采购人要求及物业服务实际情况，制定年度管理目标，明确责任分工，并制定配套实施方案。</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2.2服务人员要求</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2.2.1每季度至少开展1次岗位技能、职业素质、服务知识、客户文化、绿色节能环保等教育培训，并进行适当形式的考核。</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2.2.2根据采购人要求对服务人员进行从业资格审查，审查结果向采购人报备。</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2.2.3服务人员的年龄、学历、工作经验及资格条件应当与所在岗位能力要求相匹配，到岗前应当经过必要的岗前培训以达到岗位能力要求，国家、行业规定应当取得职业资格证书或特种作业证书的，应当按规定持证上岗。</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2.2.4如采购人认为服务人员不适应岗位要求或存在其他影响工作的，可要求投标人进行调换。如因投标人原因对服务人员进行调换，应当经采购人同意，更换比例不得超过本项目服务人员总数的20%。本项目服务人员不得在其他项目兼职。</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2.2.5着装分类统一，佩戴标识。仪容整洁、姿态端正、举止文明。用语文明礼貌，态度温和耐心。</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2.3保密和思想政治教育</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2.3.1建立保密管理制度。制度内容应当包括但不限于：①明确重点要害岗位保密职责。②对涉密工作岗位的保密要求。</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2.3.2根据采购人要求与涉密工作岗位的服务人员签订保密协议。保密协议应当向采购人报备。</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2.3.3每季度至少开展1次对服务人员进行保密、思想政治教育的培训，提高服务人员保密意识和思想政治意识。新入职员工应当接受保密、思想政治教育培训，进行必要的人员经历审查，合格后签订保密协议方可上岗。</w:t>
      </w:r>
    </w:p>
    <w:p>
      <w:pPr>
        <w:snapToGrid w:val="0"/>
        <w:spacing w:line="360" w:lineRule="auto"/>
        <w:ind w:firstLine="420" w:firstLineChars="200"/>
        <w:rPr>
          <w:rFonts w:hint="eastAsia" w:ascii="宋体" w:hAnsi="宋体" w:cs="宋体"/>
          <w:szCs w:val="21"/>
        </w:rPr>
      </w:pPr>
      <w:r>
        <w:rPr>
          <w:rFonts w:hint="eastAsia" w:ascii="宋体" w:hAnsi="宋体" w:cs="宋体"/>
          <w:szCs w:val="21"/>
        </w:rPr>
        <w:t>2.3.4发现服务人员违法违规或重大过失，及时报告采购人，并采取必要补救措施。</w:t>
      </w:r>
    </w:p>
    <w:p>
      <w:pPr>
        <w:snapToGrid w:val="0"/>
        <w:spacing w:line="360" w:lineRule="auto"/>
        <w:ind w:firstLine="420" w:firstLineChars="200"/>
        <w:rPr>
          <w:rFonts w:hint="eastAsia" w:ascii="宋体" w:hAnsi="宋体" w:cs="宋体"/>
          <w:szCs w:val="21"/>
        </w:rPr>
      </w:pPr>
      <w:r>
        <w:rPr>
          <w:rFonts w:hint="eastAsia" w:ascii="宋体" w:hAnsi="宋体" w:cs="宋体"/>
          <w:szCs w:val="21"/>
        </w:rPr>
        <w:t>2.4档案管理</w:t>
      </w:r>
    </w:p>
    <w:p>
      <w:pPr>
        <w:snapToGrid w:val="0"/>
        <w:spacing w:line="360" w:lineRule="auto"/>
        <w:ind w:firstLine="420" w:firstLineChars="200"/>
        <w:rPr>
          <w:rFonts w:hint="eastAsia" w:ascii="宋体" w:hAnsi="宋体" w:cs="宋体"/>
          <w:szCs w:val="21"/>
        </w:rPr>
      </w:pPr>
      <w:r>
        <w:rPr>
          <w:rFonts w:hint="eastAsia" w:ascii="宋体" w:hAnsi="宋体" w:cs="宋体"/>
          <w:szCs w:val="21"/>
        </w:rPr>
        <w:t>2.4.1建立物业信息，准确、及时地对文件资料和服务记录进行归档保存，并确保其物理安全。</w:t>
      </w:r>
    </w:p>
    <w:p>
      <w:pPr>
        <w:snapToGrid w:val="0"/>
        <w:spacing w:line="360" w:lineRule="auto"/>
        <w:ind w:firstLine="420" w:firstLineChars="200"/>
        <w:rPr>
          <w:rFonts w:hint="eastAsia" w:ascii="宋体" w:hAnsi="宋体" w:cs="宋体"/>
          <w:szCs w:val="21"/>
        </w:rPr>
      </w:pPr>
      <w:r>
        <w:rPr>
          <w:rFonts w:hint="eastAsia" w:ascii="宋体" w:hAnsi="宋体" w:cs="宋体"/>
          <w:szCs w:val="21"/>
        </w:rPr>
        <w:t>2.4.2档案和记录齐全，包括但不限于：</w:t>
      </w:r>
    </w:p>
    <w:p>
      <w:pPr>
        <w:snapToGrid w:val="0"/>
        <w:spacing w:line="360" w:lineRule="auto"/>
        <w:ind w:firstLine="420" w:firstLineChars="200"/>
        <w:rPr>
          <w:rFonts w:hint="eastAsia" w:ascii="宋体" w:hAnsi="宋体" w:cs="宋体"/>
          <w:szCs w:val="21"/>
        </w:rPr>
      </w:pPr>
      <w:r>
        <w:rPr>
          <w:rFonts w:hint="eastAsia" w:ascii="宋体" w:hAnsi="宋体" w:cs="宋体"/>
          <w:szCs w:val="21"/>
        </w:rPr>
        <w:t>（1）采购人建议与投诉等。教育培训和考核记录。保密、思想政治教育培训记录。接待投诉时，投诉内容、处理结果及反馈意见及时。表：包括管理所设立的各类表格、质量记录表、使用情况表、回访表、洽商申请表等。</w:t>
      </w:r>
    </w:p>
    <w:p>
      <w:pPr>
        <w:snapToGrid w:val="0"/>
        <w:spacing w:line="360" w:lineRule="auto"/>
        <w:ind w:firstLine="420" w:firstLineChars="200"/>
        <w:rPr>
          <w:rFonts w:hint="eastAsia" w:ascii="宋体" w:hAnsi="宋体" w:cs="宋体"/>
          <w:szCs w:val="21"/>
        </w:rPr>
      </w:pPr>
      <w:r>
        <w:rPr>
          <w:rFonts w:hint="eastAsia" w:ascii="宋体" w:hAnsi="宋体" w:cs="宋体"/>
          <w:szCs w:val="21"/>
        </w:rPr>
        <w:t>（2）房屋维护服务：房屋台账、使用说明、房屋装修、维保记录等。图：包括房屋平面图、竣工图、管道走向图、污井下水道位置图、体内线路图、各房屋布置图。档：包括办公楼接管验收记录、管理合同副本、房屋产权证。册：包括房屋建筑册，房屋使用册，绿化管理册、付费记录手册等。后期改造工程图纸等及时制图并存档。</w:t>
      </w:r>
    </w:p>
    <w:p>
      <w:pPr>
        <w:snapToGrid w:val="0"/>
        <w:spacing w:line="360" w:lineRule="auto"/>
        <w:ind w:firstLine="420" w:firstLineChars="200"/>
        <w:rPr>
          <w:rFonts w:hint="eastAsia" w:ascii="宋体" w:hAnsi="宋体" w:cs="宋体"/>
          <w:szCs w:val="21"/>
        </w:rPr>
      </w:pPr>
      <w:r>
        <w:rPr>
          <w:rFonts w:hint="eastAsia" w:ascii="宋体" w:hAnsi="宋体" w:cs="宋体"/>
          <w:szCs w:val="21"/>
        </w:rPr>
        <w:t>（3）公用设施设备维护服务：设备台账、设备卡、使用说明、维保记录、巡查记录、设施设备安全运行、设施设备定期巡检、维护保养、维修档案等。维修更新时，维修更新后的物业变动情况记录在册及时。卡：包括设备保养卡、维修记录卡。</w:t>
      </w:r>
    </w:p>
    <w:p>
      <w:pPr>
        <w:snapToGrid w:val="0"/>
        <w:spacing w:line="360" w:lineRule="auto"/>
        <w:ind w:firstLine="420" w:firstLineChars="200"/>
        <w:rPr>
          <w:rFonts w:hint="eastAsia" w:ascii="宋体" w:hAnsi="宋体" w:cs="宋体"/>
          <w:szCs w:val="21"/>
        </w:rPr>
      </w:pPr>
      <w:r>
        <w:rPr>
          <w:rFonts w:hint="eastAsia" w:ascii="宋体" w:hAnsi="宋体" w:cs="宋体"/>
          <w:szCs w:val="21"/>
        </w:rPr>
        <w:t>（4）保洁服务：工作日志、清洁检查表、用品清单、客户反馈表等。</w:t>
      </w:r>
    </w:p>
    <w:p>
      <w:pPr>
        <w:snapToGrid w:val="0"/>
        <w:spacing w:line="360" w:lineRule="auto"/>
        <w:ind w:firstLine="420" w:firstLineChars="200"/>
        <w:rPr>
          <w:rFonts w:hint="eastAsia" w:ascii="宋体" w:hAnsi="宋体" w:cs="宋体"/>
          <w:szCs w:val="21"/>
        </w:rPr>
      </w:pPr>
      <w:r>
        <w:rPr>
          <w:rFonts w:hint="eastAsia" w:ascii="宋体" w:hAnsi="宋体" w:cs="宋体"/>
          <w:szCs w:val="21"/>
        </w:rPr>
        <w:t>（5）绿化服务：绿化总平面图、清洁整改记录、消杀记录等。</w:t>
      </w:r>
    </w:p>
    <w:p>
      <w:pPr>
        <w:snapToGrid w:val="0"/>
        <w:spacing w:line="360" w:lineRule="auto"/>
        <w:ind w:firstLine="420" w:firstLineChars="200"/>
        <w:rPr>
          <w:rFonts w:hint="eastAsia" w:ascii="宋体" w:hAnsi="宋体" w:cs="宋体"/>
          <w:szCs w:val="21"/>
        </w:rPr>
      </w:pPr>
      <w:r>
        <w:rPr>
          <w:rFonts w:hint="eastAsia" w:ascii="宋体" w:hAnsi="宋体" w:cs="宋体"/>
          <w:szCs w:val="21"/>
        </w:rPr>
        <w:t>（6）收集整理各种人事档案、质量记录、保险档案、物业权属资料、管理合同、管理制度等资料；建立工程图纸档案、设备档案、工程承包合同、招投标书或报价单、设备运行保养保修记录、竣工图纸、各类洽商。</w:t>
      </w:r>
    </w:p>
    <w:p>
      <w:pPr>
        <w:snapToGrid w:val="0"/>
        <w:spacing w:line="360" w:lineRule="auto"/>
        <w:ind w:firstLine="420" w:firstLineChars="200"/>
        <w:rPr>
          <w:rFonts w:hint="eastAsia" w:ascii="宋体" w:hAnsi="宋体" w:cs="宋体"/>
          <w:szCs w:val="21"/>
        </w:rPr>
      </w:pPr>
      <w:r>
        <w:rPr>
          <w:rFonts w:hint="eastAsia" w:ascii="宋体" w:hAnsi="宋体" w:cs="宋体"/>
          <w:szCs w:val="21"/>
        </w:rPr>
        <w:t>（7）其他：客户信息、财务明细、合同协议、信报信息登记、大件物品进出登记等。</w:t>
      </w:r>
    </w:p>
    <w:p>
      <w:pPr>
        <w:snapToGrid w:val="0"/>
        <w:spacing w:line="360" w:lineRule="auto"/>
        <w:ind w:firstLine="420" w:firstLineChars="200"/>
        <w:rPr>
          <w:rFonts w:hint="eastAsia" w:ascii="宋体" w:hAnsi="宋体" w:cs="宋体"/>
          <w:szCs w:val="21"/>
        </w:rPr>
      </w:pPr>
      <w:r>
        <w:rPr>
          <w:rFonts w:hint="eastAsia" w:ascii="宋体" w:hAnsi="宋体" w:cs="宋体"/>
          <w:szCs w:val="21"/>
        </w:rPr>
        <w:t>（8）物业接管时，所有原始记录资料交接及时。</w:t>
      </w:r>
    </w:p>
    <w:p>
      <w:pPr>
        <w:snapToGrid w:val="0"/>
        <w:spacing w:line="360" w:lineRule="auto"/>
        <w:ind w:firstLine="420" w:firstLineChars="200"/>
        <w:rPr>
          <w:rFonts w:hint="eastAsia" w:ascii="宋体" w:hAnsi="宋体" w:cs="宋体"/>
          <w:szCs w:val="21"/>
        </w:rPr>
      </w:pPr>
      <w:r>
        <w:rPr>
          <w:rFonts w:hint="eastAsia" w:ascii="宋体" w:hAnsi="宋体" w:cs="宋体"/>
          <w:szCs w:val="21"/>
        </w:rPr>
        <w:t xml:space="preserve">（9）物业入驻时，全面掌握各部门及个人基本情况，区域划分钥匙分配原始记录交接及时。 </w:t>
      </w:r>
    </w:p>
    <w:p>
      <w:pPr>
        <w:snapToGrid w:val="0"/>
        <w:spacing w:line="360" w:lineRule="auto"/>
        <w:ind w:firstLine="420" w:firstLineChars="200"/>
        <w:rPr>
          <w:rFonts w:hint="eastAsia" w:ascii="宋体" w:hAnsi="宋体" w:cs="宋体"/>
          <w:szCs w:val="21"/>
        </w:rPr>
      </w:pPr>
      <w:r>
        <w:rPr>
          <w:rFonts w:hint="eastAsia" w:ascii="宋体" w:hAnsi="宋体" w:cs="宋体"/>
          <w:szCs w:val="21"/>
        </w:rPr>
        <w:t>2.4.3遵守采购人的信息、档案资料保密要求，未经许可，不得将建筑物平面图等资料转作其他用途或向其他单位、个人提供。</w:t>
      </w:r>
    </w:p>
    <w:p>
      <w:pPr>
        <w:snapToGrid w:val="0"/>
        <w:spacing w:line="360" w:lineRule="auto"/>
        <w:ind w:firstLine="420" w:firstLineChars="200"/>
        <w:rPr>
          <w:rFonts w:hint="eastAsia" w:ascii="宋体" w:hAnsi="宋体" w:cs="宋体"/>
          <w:szCs w:val="21"/>
        </w:rPr>
      </w:pPr>
      <w:r>
        <w:rPr>
          <w:rFonts w:hint="eastAsia" w:ascii="宋体" w:hAnsi="宋体" w:cs="宋体"/>
          <w:szCs w:val="21"/>
        </w:rPr>
        <w:t>2.4.4履约结束后，相关资料交还采购人，采购人按政府采购相关规定存档。</w:t>
      </w:r>
    </w:p>
    <w:p>
      <w:pPr>
        <w:widowControl/>
        <w:snapToGrid w:val="0"/>
        <w:spacing w:line="360" w:lineRule="auto"/>
        <w:ind w:firstLine="420" w:firstLineChars="200"/>
        <w:rPr>
          <w:rFonts w:hint="eastAsia" w:ascii="宋体" w:hAnsi="宋体" w:cs="宋体"/>
          <w:szCs w:val="21"/>
        </w:rPr>
      </w:pPr>
      <w:r>
        <w:rPr>
          <w:rFonts w:hint="eastAsia" w:ascii="宋体" w:hAnsi="宋体" w:cs="宋体"/>
          <w:szCs w:val="21"/>
        </w:rPr>
        <w:t>2.5服务改进</w:t>
      </w:r>
    </w:p>
    <w:p>
      <w:pPr>
        <w:snapToGrid w:val="0"/>
        <w:spacing w:line="360" w:lineRule="auto"/>
        <w:ind w:firstLine="420" w:firstLineChars="200"/>
        <w:rPr>
          <w:rFonts w:hint="eastAsia" w:ascii="宋体" w:hAnsi="宋体" w:cs="宋体"/>
          <w:szCs w:val="21"/>
        </w:rPr>
      </w:pPr>
      <w:r>
        <w:rPr>
          <w:rFonts w:hint="eastAsia" w:ascii="宋体" w:hAnsi="宋体" w:cs="宋体"/>
          <w:szCs w:val="21"/>
        </w:rPr>
        <w:t>2.5.1明确负责人，定期对物业服务过程进行自查，结合反馈意见与评价结果采取改进措施，持续提升管理与服务水平。</w:t>
      </w:r>
    </w:p>
    <w:p>
      <w:pPr>
        <w:snapToGrid w:val="0"/>
        <w:spacing w:line="360" w:lineRule="auto"/>
        <w:ind w:firstLine="420" w:firstLineChars="200"/>
        <w:rPr>
          <w:rFonts w:hint="eastAsia" w:ascii="宋体" w:hAnsi="宋体" w:cs="宋体"/>
          <w:szCs w:val="21"/>
        </w:rPr>
      </w:pPr>
      <w:r>
        <w:rPr>
          <w:rFonts w:hint="eastAsia" w:ascii="宋体" w:hAnsi="宋体" w:cs="宋体"/>
          <w:szCs w:val="21"/>
        </w:rPr>
        <w:t>2.5.2对不合格服务进行控制，对不合格服务的原因进行识别和分析，及时采取纠正措施，消除不合格的原因，防止不合格再发生。</w:t>
      </w:r>
    </w:p>
    <w:p>
      <w:pPr>
        <w:snapToGrid w:val="0"/>
        <w:spacing w:line="360" w:lineRule="auto"/>
        <w:ind w:firstLine="420" w:firstLineChars="200"/>
        <w:rPr>
          <w:rFonts w:hint="eastAsia" w:ascii="宋体" w:hAnsi="宋体" w:cs="宋体"/>
          <w:szCs w:val="21"/>
        </w:rPr>
      </w:pPr>
      <w:r>
        <w:rPr>
          <w:rFonts w:hint="eastAsia" w:ascii="宋体" w:hAnsi="宋体" w:cs="宋体"/>
          <w:szCs w:val="21"/>
        </w:rPr>
        <w:t>2.5.3需整改问题及时整改完成。</w:t>
      </w:r>
    </w:p>
    <w:p>
      <w:pPr>
        <w:snapToGrid w:val="0"/>
        <w:spacing w:line="360" w:lineRule="auto"/>
        <w:ind w:firstLine="420" w:firstLineChars="200"/>
        <w:rPr>
          <w:rFonts w:hint="eastAsia" w:ascii="宋体" w:hAnsi="宋体" w:cs="宋体"/>
          <w:szCs w:val="21"/>
        </w:rPr>
      </w:pPr>
      <w:bookmarkStart w:id="0" w:name="OLE_LINK70"/>
      <w:r>
        <w:rPr>
          <w:rFonts w:hint="eastAsia" w:ascii="宋体" w:hAnsi="宋体" w:cs="宋体"/>
          <w:szCs w:val="21"/>
        </w:rPr>
        <w:t>2.6重大活动后勤保障</w:t>
      </w:r>
    </w:p>
    <w:p>
      <w:pPr>
        <w:snapToGrid w:val="0"/>
        <w:spacing w:line="360" w:lineRule="auto"/>
        <w:ind w:firstLine="420" w:firstLineChars="200"/>
        <w:rPr>
          <w:rFonts w:hint="eastAsia" w:ascii="宋体" w:hAnsi="宋体" w:cs="宋体"/>
          <w:szCs w:val="21"/>
        </w:rPr>
      </w:pPr>
      <w:r>
        <w:rPr>
          <w:rFonts w:hint="eastAsia" w:ascii="宋体" w:hAnsi="宋体" w:cs="宋体"/>
          <w:szCs w:val="21"/>
        </w:rPr>
        <w:t>2.6.1制订流程。配合采购人制订重大活动后勤保障工作流程，需对任务进行详细了解，并根据工作安排制定详细的后勤保障计划。</w:t>
      </w:r>
    </w:p>
    <w:p>
      <w:pPr>
        <w:snapToGrid w:val="0"/>
        <w:spacing w:line="360" w:lineRule="auto"/>
        <w:ind w:firstLine="420" w:firstLineChars="200"/>
        <w:rPr>
          <w:rFonts w:hint="eastAsia" w:ascii="宋体" w:hAnsi="宋体" w:cs="宋体"/>
          <w:szCs w:val="21"/>
        </w:rPr>
      </w:pPr>
      <w:r>
        <w:rPr>
          <w:rFonts w:hint="eastAsia" w:ascii="宋体" w:hAnsi="宋体" w:cs="宋体"/>
          <w:szCs w:val="21"/>
        </w:rPr>
        <w:t>2.6.2实施保障。按计划在关键区域和重点部位进行部署，确保任务顺利进行，对活动区域进行全面安全检查，发现并排除安全隐患，对车辆进行有序引导和管理，确保交通安全畅通，以礼貌、专业的态度对待来宾，展现良好形象。</w:t>
      </w:r>
    </w:p>
    <w:p>
      <w:pPr>
        <w:snapToGrid w:val="0"/>
        <w:spacing w:line="360" w:lineRule="auto"/>
        <w:ind w:firstLine="420" w:firstLineChars="200"/>
        <w:rPr>
          <w:rFonts w:hint="eastAsia" w:ascii="宋体" w:hAnsi="宋体" w:cs="宋体"/>
          <w:szCs w:val="21"/>
        </w:rPr>
      </w:pPr>
      <w:r>
        <w:rPr>
          <w:rFonts w:hint="eastAsia" w:ascii="宋体" w:hAnsi="宋体" w:cs="宋体"/>
          <w:szCs w:val="21"/>
        </w:rPr>
        <w:t>2.6.3收尾工作。对现场进行检查，做好清理工作。</w:t>
      </w:r>
    </w:p>
    <w:bookmarkEnd w:id="0"/>
    <w:p>
      <w:pPr>
        <w:snapToGrid w:val="0"/>
        <w:spacing w:line="360" w:lineRule="auto"/>
        <w:ind w:firstLine="420" w:firstLineChars="200"/>
        <w:rPr>
          <w:rFonts w:hint="eastAsia" w:ascii="宋体" w:hAnsi="宋体" w:cs="宋体"/>
          <w:szCs w:val="21"/>
        </w:rPr>
      </w:pPr>
      <w:r>
        <w:rPr>
          <w:rFonts w:hint="eastAsia" w:ascii="宋体" w:hAnsi="宋体" w:cs="宋体"/>
          <w:szCs w:val="21"/>
        </w:rPr>
        <w:t>2.7应急保障预案</w:t>
      </w:r>
    </w:p>
    <w:p>
      <w:pPr>
        <w:snapToGrid w:val="0"/>
        <w:spacing w:line="360" w:lineRule="auto"/>
        <w:ind w:firstLine="420" w:firstLineChars="200"/>
        <w:rPr>
          <w:rFonts w:hint="eastAsia" w:ascii="宋体" w:hAnsi="宋体" w:cs="宋体"/>
          <w:szCs w:val="21"/>
        </w:rPr>
      </w:pPr>
      <w:r>
        <w:rPr>
          <w:rFonts w:hint="eastAsia" w:ascii="宋体" w:hAnsi="宋体" w:cs="宋体"/>
          <w:szCs w:val="21"/>
        </w:rPr>
        <w:t>2.7.1重点区域及安全隐患排查。结合项目的实际情况，对重点部位及危险隐患进行排查，并建立清单/台账；应当对危险隐患进行风险分析，制定相应措施进行控制或整改并定期监控；随着设施设备、服务内容的变化，及时更新清单/台账，使风险隐患始终处于受控状态。</w:t>
      </w:r>
    </w:p>
    <w:p>
      <w:pPr>
        <w:snapToGrid w:val="0"/>
        <w:spacing w:line="360" w:lineRule="auto"/>
        <w:ind w:firstLine="420" w:firstLineChars="200"/>
        <w:rPr>
          <w:rFonts w:hint="eastAsia" w:ascii="宋体" w:hAnsi="宋体" w:cs="宋体"/>
          <w:szCs w:val="21"/>
        </w:rPr>
      </w:pPr>
      <w:r>
        <w:rPr>
          <w:rFonts w:hint="eastAsia" w:ascii="宋体" w:hAnsi="宋体" w:cs="宋体"/>
          <w:szCs w:val="21"/>
        </w:rPr>
        <w:t>2.7.2应急预案的建立。根据办公楼隐患排查的结果和实际情况，制定专项预案，包括但不限于：火情火警紧急处理应急预案、紧急疏散应急预案、停水停电应急预案、有限空间救援应急预案、高空作业救援应急预案、恶劣天气应对应急预案等。</w:t>
      </w:r>
    </w:p>
    <w:p>
      <w:pPr>
        <w:snapToGrid w:val="0"/>
        <w:spacing w:line="360" w:lineRule="auto"/>
        <w:ind w:firstLine="420" w:firstLineChars="200"/>
        <w:rPr>
          <w:rFonts w:hint="eastAsia" w:ascii="宋体" w:hAnsi="宋体" w:cs="宋体"/>
          <w:szCs w:val="21"/>
        </w:rPr>
      </w:pPr>
      <w:r>
        <w:rPr>
          <w:rFonts w:hint="eastAsia" w:ascii="宋体" w:hAnsi="宋体" w:cs="宋体"/>
          <w:szCs w:val="21"/>
        </w:rPr>
        <w:t>2.7.3应急预案的培训和演练。应急预案定期培训和演练，组织相关岗位每半年至少开展一次专项应急预案演练；留存培训及演练记录和影像资料，并对预案进行评价，确保与实际情况相结合。</w:t>
      </w:r>
    </w:p>
    <w:p>
      <w:pPr>
        <w:snapToGrid w:val="0"/>
        <w:spacing w:line="360" w:lineRule="auto"/>
        <w:ind w:firstLine="420" w:firstLineChars="200"/>
        <w:rPr>
          <w:rFonts w:hint="eastAsia" w:ascii="宋体" w:hAnsi="宋体" w:cs="宋体"/>
          <w:szCs w:val="21"/>
        </w:rPr>
      </w:pPr>
      <w:r>
        <w:rPr>
          <w:rFonts w:hint="eastAsia" w:ascii="宋体" w:hAnsi="宋体" w:cs="宋体"/>
          <w:szCs w:val="21"/>
        </w:rPr>
        <w:t>2.7.4应急物资的管理。根据专项预案中的应对需要、必要的应急物资，建立清单或台账，并由专人定期对应急物资进行检查，如有应急物资不足，及时通知采购人购置齐全，确保能够随时正常使用。</w:t>
      </w:r>
    </w:p>
    <w:p>
      <w:pPr>
        <w:snapToGrid w:val="0"/>
        <w:spacing w:line="360" w:lineRule="auto"/>
        <w:ind w:firstLine="420" w:firstLineChars="200"/>
        <w:rPr>
          <w:rFonts w:hint="eastAsia" w:ascii="宋体" w:hAnsi="宋体" w:cs="宋体"/>
          <w:szCs w:val="21"/>
        </w:rPr>
      </w:pPr>
      <w:r>
        <w:rPr>
          <w:rFonts w:hint="eastAsia" w:ascii="宋体" w:hAnsi="宋体" w:cs="宋体"/>
          <w:szCs w:val="21"/>
        </w:rPr>
        <w:t>2.8服务方案及工作制度</w:t>
      </w:r>
    </w:p>
    <w:p>
      <w:pPr>
        <w:snapToGrid w:val="0"/>
        <w:spacing w:line="360" w:lineRule="auto"/>
        <w:ind w:firstLine="420" w:firstLineChars="200"/>
        <w:rPr>
          <w:rFonts w:hint="eastAsia" w:ascii="宋体" w:hAnsi="宋体" w:cs="宋体"/>
          <w:szCs w:val="21"/>
        </w:rPr>
      </w:pPr>
      <w:r>
        <w:rPr>
          <w:rFonts w:hint="eastAsia" w:ascii="宋体" w:hAnsi="宋体" w:cs="宋体"/>
          <w:szCs w:val="21"/>
        </w:rPr>
        <w:t>2.8.1制定工作制度，主要包括：人员录用制度、档案管理制度、物业服务管理制度、公用设施设备相关管理制度等。</w:t>
      </w:r>
    </w:p>
    <w:p>
      <w:pPr>
        <w:snapToGrid w:val="0"/>
        <w:spacing w:line="360" w:lineRule="auto"/>
        <w:ind w:firstLine="420" w:firstLineChars="200"/>
        <w:rPr>
          <w:rFonts w:hint="eastAsia" w:ascii="宋体" w:hAnsi="宋体" w:cs="宋体"/>
          <w:szCs w:val="21"/>
        </w:rPr>
      </w:pPr>
      <w:r>
        <w:rPr>
          <w:rFonts w:hint="eastAsia" w:ascii="宋体" w:hAnsi="宋体" w:cs="宋体"/>
          <w:szCs w:val="21"/>
        </w:rPr>
        <w:t>2.8.2制定项目实施方案，主要包括：交接方案、人员培训方案、人员稳定性方案、保密方案等。</w:t>
      </w:r>
    </w:p>
    <w:p>
      <w:pPr>
        <w:snapToGrid w:val="0"/>
        <w:spacing w:line="360" w:lineRule="auto"/>
        <w:ind w:firstLine="420" w:firstLineChars="200"/>
        <w:rPr>
          <w:rFonts w:hint="eastAsia" w:ascii="宋体" w:hAnsi="宋体" w:cs="宋体"/>
          <w:szCs w:val="21"/>
        </w:rPr>
      </w:pPr>
      <w:r>
        <w:rPr>
          <w:rFonts w:hint="eastAsia" w:ascii="宋体" w:hAnsi="宋体" w:cs="宋体"/>
          <w:szCs w:val="21"/>
        </w:rPr>
        <w:t>2.8.3制定物业服务方案，主要包括：房屋维护服务方案、公用设施设备维护服务方案、绿化服务方案、保洁服务方案、消防中控服务方案、会议服务方案等。</w:t>
      </w:r>
    </w:p>
    <w:p>
      <w:pPr>
        <w:snapToGrid w:val="0"/>
        <w:spacing w:line="360" w:lineRule="auto"/>
        <w:ind w:firstLine="420" w:firstLineChars="200"/>
        <w:rPr>
          <w:rFonts w:hint="eastAsia" w:ascii="宋体" w:hAnsi="宋体" w:cs="宋体"/>
          <w:szCs w:val="21"/>
        </w:rPr>
      </w:pPr>
      <w:r>
        <w:rPr>
          <w:rFonts w:hint="eastAsia" w:ascii="宋体" w:hAnsi="宋体" w:cs="宋体"/>
          <w:szCs w:val="21"/>
        </w:rPr>
        <w:t>2.9信报服务</w:t>
      </w:r>
    </w:p>
    <w:p>
      <w:pPr>
        <w:snapToGrid w:val="0"/>
        <w:spacing w:line="360" w:lineRule="auto"/>
        <w:ind w:firstLine="420" w:firstLineChars="200"/>
        <w:rPr>
          <w:rFonts w:hint="eastAsia" w:ascii="宋体" w:hAnsi="宋体" w:cs="宋体"/>
          <w:szCs w:val="21"/>
        </w:rPr>
      </w:pPr>
      <w:r>
        <w:rPr>
          <w:rFonts w:hint="eastAsia" w:ascii="宋体" w:hAnsi="宋体" w:cs="宋体"/>
          <w:szCs w:val="21"/>
        </w:rPr>
        <w:t>2.9.1对邮件、包裹和挂号信等进行正确分理、安全检查和防疫卫生检查。</w:t>
      </w:r>
    </w:p>
    <w:p>
      <w:pPr>
        <w:snapToGrid w:val="0"/>
        <w:spacing w:line="360" w:lineRule="auto"/>
        <w:ind w:firstLine="420" w:firstLineChars="200"/>
        <w:rPr>
          <w:rFonts w:hint="eastAsia" w:ascii="宋体" w:hAnsi="宋体" w:cs="宋体"/>
          <w:szCs w:val="21"/>
        </w:rPr>
      </w:pPr>
      <w:r>
        <w:rPr>
          <w:rFonts w:hint="eastAsia" w:ascii="宋体" w:hAnsi="宋体" w:cs="宋体"/>
          <w:szCs w:val="21"/>
        </w:rPr>
        <w:t>2.9.2及时投送或通知收件人领取。</w:t>
      </w:r>
    </w:p>
    <w:p>
      <w:pPr>
        <w:snapToGrid w:val="0"/>
        <w:spacing w:line="360" w:lineRule="auto"/>
        <w:ind w:firstLine="420" w:firstLineChars="200"/>
        <w:rPr>
          <w:rFonts w:hint="eastAsia" w:ascii="宋体" w:hAnsi="宋体" w:cs="宋体"/>
          <w:szCs w:val="21"/>
        </w:rPr>
      </w:pPr>
      <w:r>
        <w:rPr>
          <w:rFonts w:hint="eastAsia" w:ascii="宋体" w:hAnsi="宋体" w:cs="宋体"/>
          <w:szCs w:val="21"/>
        </w:rPr>
        <w:t>2.9.3大件物品出入向采购人报告，待采购人确认无误后放行。</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2.10服务热线及紧急维修</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2.10.1设置24小时报修服务热线。</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2.10.2紧急维修应当15分钟内到达现场，不间断维修直至修复。</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2.11物业管理服务节约型公共机构建设</w:t>
      </w:r>
    </w:p>
    <w:p>
      <w:pPr>
        <w:pStyle w:val="8"/>
        <w:widowControl w:val="0"/>
        <w:shd w:val="clear" w:color="auto" w:fill="FFFFFF"/>
        <w:adjustRightInd w:val="0"/>
        <w:snapToGrid w:val="0"/>
        <w:spacing w:before="0" w:beforeAutospacing="0" w:after="0" w:afterAutospacing="0" w:line="360" w:lineRule="auto"/>
        <w:ind w:firstLine="420" w:firstLineChars="200"/>
        <w:rPr>
          <w:rFonts w:hint="eastAsia"/>
          <w:kern w:val="2"/>
          <w:sz w:val="21"/>
          <w:szCs w:val="21"/>
          <w:highlight w:val="none"/>
        </w:rPr>
      </w:pPr>
      <w:r>
        <w:rPr>
          <w:rFonts w:hint="eastAsia"/>
          <w:kern w:val="2"/>
          <w:sz w:val="21"/>
          <w:szCs w:val="21"/>
          <w:highlight w:val="none"/>
        </w:rPr>
        <w:t>2</w:t>
      </w:r>
      <w:r>
        <w:rPr>
          <w:kern w:val="2"/>
          <w:sz w:val="21"/>
          <w:szCs w:val="21"/>
          <w:highlight w:val="none"/>
        </w:rPr>
        <w:t>.</w:t>
      </w:r>
      <w:r>
        <w:rPr>
          <w:rFonts w:hint="eastAsia"/>
          <w:kern w:val="2"/>
          <w:sz w:val="21"/>
          <w:szCs w:val="21"/>
          <w:highlight w:val="none"/>
        </w:rPr>
        <w:t>11</w:t>
      </w:r>
      <w:r>
        <w:rPr>
          <w:kern w:val="2"/>
          <w:sz w:val="21"/>
          <w:szCs w:val="21"/>
          <w:highlight w:val="none"/>
        </w:rPr>
        <w:t>.1节能管理</w:t>
      </w:r>
    </w:p>
    <w:p>
      <w:pPr>
        <w:pStyle w:val="8"/>
        <w:widowControl w:val="0"/>
        <w:shd w:val="clear" w:color="auto" w:fill="FFFFFF"/>
        <w:adjustRightInd w:val="0"/>
        <w:snapToGrid w:val="0"/>
        <w:spacing w:before="0" w:beforeAutospacing="0" w:after="0" w:afterAutospacing="0" w:line="360" w:lineRule="auto"/>
        <w:ind w:firstLine="420" w:firstLineChars="200"/>
        <w:rPr>
          <w:rFonts w:hint="eastAsia"/>
          <w:kern w:val="2"/>
          <w:sz w:val="21"/>
          <w:szCs w:val="21"/>
          <w:highlight w:val="none"/>
        </w:rPr>
      </w:pPr>
      <w:r>
        <w:rPr>
          <w:rFonts w:hint="eastAsia"/>
          <w:kern w:val="2"/>
          <w:sz w:val="21"/>
          <w:szCs w:val="21"/>
          <w:highlight w:val="none"/>
        </w:rPr>
        <w:t>2</w:t>
      </w:r>
      <w:r>
        <w:rPr>
          <w:kern w:val="2"/>
          <w:sz w:val="21"/>
          <w:szCs w:val="21"/>
          <w:highlight w:val="none"/>
        </w:rPr>
        <w:t>.</w:t>
      </w:r>
      <w:r>
        <w:rPr>
          <w:rFonts w:hint="eastAsia"/>
          <w:kern w:val="2"/>
          <w:sz w:val="21"/>
          <w:szCs w:val="21"/>
          <w:highlight w:val="none"/>
        </w:rPr>
        <w:t>11</w:t>
      </w:r>
      <w:r>
        <w:rPr>
          <w:kern w:val="2"/>
          <w:sz w:val="21"/>
          <w:szCs w:val="21"/>
          <w:highlight w:val="none"/>
        </w:rPr>
        <w:t>.2 节水管理</w:t>
      </w:r>
    </w:p>
    <w:p>
      <w:pPr>
        <w:pStyle w:val="8"/>
        <w:widowControl w:val="0"/>
        <w:shd w:val="clear" w:color="auto" w:fill="FFFFFF"/>
        <w:adjustRightInd w:val="0"/>
        <w:snapToGrid w:val="0"/>
        <w:spacing w:before="0" w:beforeAutospacing="0" w:after="0" w:afterAutospacing="0" w:line="360" w:lineRule="auto"/>
        <w:ind w:firstLine="420" w:firstLineChars="200"/>
        <w:rPr>
          <w:rFonts w:hint="eastAsia"/>
          <w:kern w:val="2"/>
          <w:sz w:val="21"/>
          <w:szCs w:val="21"/>
          <w:highlight w:val="none"/>
        </w:rPr>
      </w:pPr>
      <w:r>
        <w:rPr>
          <w:rFonts w:hint="eastAsia"/>
          <w:kern w:val="2"/>
          <w:sz w:val="21"/>
          <w:szCs w:val="21"/>
          <w:highlight w:val="none"/>
        </w:rPr>
        <w:t>2</w:t>
      </w:r>
      <w:r>
        <w:rPr>
          <w:kern w:val="2"/>
          <w:sz w:val="21"/>
          <w:szCs w:val="21"/>
          <w:highlight w:val="none"/>
        </w:rPr>
        <w:t>.</w:t>
      </w:r>
      <w:r>
        <w:rPr>
          <w:rFonts w:hint="eastAsia"/>
          <w:kern w:val="2"/>
          <w:sz w:val="21"/>
          <w:szCs w:val="21"/>
          <w:highlight w:val="none"/>
        </w:rPr>
        <w:t>11</w:t>
      </w:r>
      <w:r>
        <w:rPr>
          <w:kern w:val="2"/>
          <w:sz w:val="21"/>
          <w:szCs w:val="21"/>
          <w:highlight w:val="none"/>
        </w:rPr>
        <w:t>.3 反食品浪费管理</w:t>
      </w:r>
    </w:p>
    <w:p>
      <w:pPr>
        <w:pStyle w:val="8"/>
        <w:widowControl w:val="0"/>
        <w:shd w:val="clear" w:color="auto" w:fill="FFFFFF"/>
        <w:adjustRightInd w:val="0"/>
        <w:snapToGrid w:val="0"/>
        <w:spacing w:before="0" w:beforeAutospacing="0" w:after="0" w:afterAutospacing="0" w:line="360" w:lineRule="auto"/>
        <w:ind w:firstLine="420" w:firstLineChars="200"/>
        <w:rPr>
          <w:rFonts w:hint="eastAsia"/>
          <w:kern w:val="2"/>
          <w:sz w:val="21"/>
          <w:szCs w:val="21"/>
          <w:highlight w:val="none"/>
        </w:rPr>
      </w:pPr>
      <w:r>
        <w:rPr>
          <w:rFonts w:hint="eastAsia"/>
          <w:kern w:val="2"/>
          <w:sz w:val="21"/>
          <w:szCs w:val="21"/>
          <w:highlight w:val="none"/>
        </w:rPr>
        <w:t>2</w:t>
      </w:r>
      <w:r>
        <w:rPr>
          <w:kern w:val="2"/>
          <w:sz w:val="21"/>
          <w:szCs w:val="21"/>
          <w:highlight w:val="none"/>
        </w:rPr>
        <w:t>.</w:t>
      </w:r>
      <w:r>
        <w:rPr>
          <w:rFonts w:hint="eastAsia"/>
          <w:kern w:val="2"/>
          <w:sz w:val="21"/>
          <w:szCs w:val="21"/>
          <w:highlight w:val="none"/>
        </w:rPr>
        <w:t>11</w:t>
      </w:r>
      <w:r>
        <w:rPr>
          <w:kern w:val="2"/>
          <w:sz w:val="21"/>
          <w:szCs w:val="21"/>
          <w:highlight w:val="none"/>
        </w:rPr>
        <w:t>.4 生活垃圾分类管理</w:t>
      </w:r>
    </w:p>
    <w:p>
      <w:pPr>
        <w:pStyle w:val="7"/>
        <w:adjustRightInd w:val="0"/>
        <w:snapToGrid w:val="0"/>
        <w:spacing w:line="360" w:lineRule="auto"/>
        <w:ind w:firstLine="422" w:firstLineChars="200"/>
        <w:rPr>
          <w:rFonts w:hAnsi="宋体" w:cs="宋体"/>
          <w:b/>
          <w:szCs w:val="21"/>
          <w:highlight w:val="none"/>
        </w:rPr>
      </w:pPr>
      <w:r>
        <w:rPr>
          <w:rFonts w:hAnsi="宋体" w:cs="宋体"/>
          <w:b/>
          <w:szCs w:val="21"/>
          <w:highlight w:val="none"/>
        </w:rPr>
        <w:t>（二）建筑物日常养护维修服务</w:t>
      </w:r>
    </w:p>
    <w:p>
      <w:pPr>
        <w:pStyle w:val="5"/>
        <w:snapToGrid w:val="0"/>
        <w:spacing w:line="360" w:lineRule="auto"/>
        <w:ind w:firstLine="422" w:firstLineChars="200"/>
        <w:rPr>
          <w:rFonts w:hint="eastAsia" w:ascii="宋体" w:hAnsi="宋体" w:cs="宋体"/>
          <w:b/>
          <w:bCs/>
          <w:sz w:val="21"/>
          <w:szCs w:val="21"/>
          <w:highlight w:val="none"/>
        </w:rPr>
      </w:pPr>
      <w:r>
        <w:rPr>
          <w:rFonts w:hint="eastAsia" w:ascii="宋体" w:hAnsi="宋体" w:cs="宋体"/>
          <w:b/>
          <w:bCs/>
          <w:sz w:val="21"/>
          <w:szCs w:val="21"/>
          <w:highlight w:val="none"/>
        </w:rPr>
        <w:t>1.服务内容：</w:t>
      </w:r>
      <w:r>
        <w:rPr>
          <w:rFonts w:hint="eastAsia" w:ascii="宋体" w:hAnsi="宋体" w:cs="宋体"/>
          <w:bCs/>
          <w:sz w:val="21"/>
          <w:szCs w:val="21"/>
          <w:highlight w:val="none"/>
        </w:rPr>
        <w:t>主体结构、维护结构、部品部件等相关的</w:t>
      </w:r>
      <w:r>
        <w:rPr>
          <w:rFonts w:hint="eastAsia" w:ascii="宋体" w:hAnsi="宋体" w:cs="宋体"/>
          <w:sz w:val="21"/>
          <w:szCs w:val="21"/>
          <w:highlight w:val="none"/>
        </w:rPr>
        <w:t>办公楼（区）其他项目巡查、维护、维修、管理内容，包括但不限于：房屋结构、办公楼（区）室内地面，室内各类顶板，室内外墙面、屋面、屋面防水补漏，外墙防水、外墙粉刷、外墙修补、内墙粉刷，吊顶、隔断、幕墙玻璃、雨篷、散水、空调室外机支撑构件、踢脚、门（含门面、门锁、铰链及闭门器等）、窗户、窗玻璃、窗台、窗套、窗帘、窗帘盒、锁、铝合金窗柜、楼梯扶手、楼梯护板、玻璃幕墙、石材幕墙、铝扣板、铝合金门窗锁拉手维修，办公桌抽屉锁、抽屉排锁维修，水体、烘手机、隔断、室外道路、通风道、停车带、井盖、篦子、减速带、车挡、地沟、各类雨水及污水管道、防雷设施、围墙（栏）、园林挡土墙、花岗岩、活动场地、路面修补、绿化围栏、绿化栅拦、室外亭、台、桥、桌、椅、步行道、标识、标牌及其设施等</w:t>
      </w:r>
      <w:r>
        <w:rPr>
          <w:rFonts w:hint="eastAsia" w:ascii="宋体" w:hAnsi="宋体" w:cs="宋体"/>
          <w:b/>
          <w:bCs/>
          <w:sz w:val="21"/>
          <w:szCs w:val="21"/>
          <w:highlight w:val="none"/>
        </w:rPr>
        <w:t>。</w:t>
      </w:r>
    </w:p>
    <w:p>
      <w:pPr>
        <w:snapToGrid w:val="0"/>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2.服务标准：</w:t>
      </w:r>
      <w:r>
        <w:rPr>
          <w:rFonts w:hint="eastAsia" w:ascii="宋体" w:hAnsi="宋体" w:cs="宋体"/>
          <w:szCs w:val="21"/>
          <w:highlight w:val="none"/>
        </w:rPr>
        <w:t>确保办公楼（区）房屋的完好等级和正常使用；及时完成各项零星维修任务，零星维修合格率100%。</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2.1制定房屋维修、建筑装饰等年度、季度维修计划，呈报采购人审批并按委托组织实施。</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2.2保证建筑、结构和设施设备完好率达到100％。</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2.3 楼内外无违章乱张贴、乱搭建、乱拉管线等现象，不得对建筑、结构、设施设备等进行改动,不得擅自改变房屋用途。</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2.4确保各类设备设施的日常养护维修，每日检查1遍,及时完成各项零修、报修任务，接到报修后30分钟内到达现场，一般维修任务不超过12小时。</w:t>
      </w:r>
      <w:r>
        <w:rPr>
          <w:rFonts w:hint="eastAsia" w:ascii="宋体" w:hAnsi="宋体" w:cs="宋体"/>
          <w:szCs w:val="21"/>
          <w:highlight w:val="none"/>
          <w:lang w:val="en-US" w:eastAsia="zh-CN"/>
        </w:rPr>
        <w:t>养护维修应</w:t>
      </w:r>
      <w:r>
        <w:rPr>
          <w:rFonts w:hint="eastAsia"/>
          <w:szCs w:val="21"/>
          <w:highlight w:val="none"/>
        </w:rPr>
        <w:t>选用符合环保标准的材料。</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2.5保证办公楼（区）的正常使用，根据水暖配件数量、土建道路数量、房屋办公室的数量、屋面数量、窗玻璃、窗帘数量、铝合金门、办公室等年均损耗量拟定年度工作计划。</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2.6对办公楼（区）适时组织巡查，确保办公大楼外观完好、整洁；地面、墙台面、吊顶、楼梯、通风道等，是建材贴面的，无脱落；是玻璃幕墙的，清洁明亮、无破损；是涂料的，无脱落污渍；室外招牌整洁统一无安全隐患，墙面装饰无破损，确保房屋、门窗等共用设施的完好和正常使用，确保室外场地、道路等公用设施的完好和正常使用，做好巡查记录。需要维修，属于小修范围的，及时组织修复；并建立房屋巡查台帐，记录房屋的运行、检查、保养、维修记录；属于大、中修范围或者需要更新改造的，采购人需制定维修计划与方案，提出报告与建议。</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2.7维修现场垃圾污物杂物清理干净卫生，保持维修现场整洁。</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2.8每个物业管理区域建筑面积≤150000平方米的，应当配备房屋建筑结构和房屋建筑设施设备安全管理员各一名（可选，至少一名）；建筑面积＞150000平方米的，应当配备房屋建筑结构和房屋建筑设施设备安全管理员各两名（可选，至少两名）。房屋建筑安全管理员不得同时服务于两个或两个以上房屋管理单位或物业管理区域。</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2.9每季度至少开展1次房屋结构安全巡视，发现外观有变形、开裂等现象，及时建议采购人申请房屋安全鉴定，并采取必要的避险和防护措施。</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2.10每季度至少开展1次外墙贴饰面、幕墙玻璃、雨篷、散水、空调室外机支撑构件等检查，发现破损，及时向采购人报告，按采购人要求出具维修方案，待采购人同意后按维修方案实施维修。</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2.11每半月至少开展1次公用部位的门、窗、楼梯、通风道、室内地面、墙面、吊顶和室外屋面等巡查，发现破损，及时向采购人报告，按采购人要求出具维修方案，待采购人同意后按维修方案实施维修。</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2.12每年强降雨天气前后、雨雪季节检查屋面防水和雨落管等，发现破损，及时向采购人报告，按采购人要求出具维修方案，待采购人同意后按维修方案实施维修。</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2.13办公楼外观完好，建筑装饰面无脱落、无破损、无污渍，玻璃幕墙清洁明亮、无破损。</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2.14通道、楼梯、门窗等设施的完好和正常使用。</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2.15每半月至少开展1次大门、围墙、道路、场地、管井、沟渠等巡查，每半月至少检查1次雨污水管井、化粪池等巡查，发现破损，及时向采购人报告，按采购人要求出具维修方案，待采购人同意后按维修方案实施维修。</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2.16每年至少开展1次防雷装置检测，发现失效，及时向采购人报告，按采购人要求出具维修方案，待采购人同意后按维修方案实施维修。</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2.17路面状态良好，地漏通畅不堵塞。</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2.18接到采购人家具报修服务后，及时通知家具供货商对保修期内的家具进行维修，及时对保修期外的家具进行维修。</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2.19装饰装修前，投标人应当与采购人或采购人委托的装修企业签订装饰装修管理服务协议，告知装饰装修须知，并对装饰装修过程进行管理服务。</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2.20根据协议内容，做好装修垃圾临时堆放、清运等。</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2.21受采购人委托对房屋内装修进行严格的监督管理，发现问题及时上报，确保不因装修而危及大楼结构安全、人身安全和影响正常办公秩序。</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2.22标识标牌符合《公共信息图形符号 第1部分：通用符号》（GB/T 10001.1）的相关要求，消防与安全标识符合《安全标志及其使用导则》（GB2894）、《消防安全标志第1部分：标志》（GB13495.1）的相关要求。</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2.23每月至少检查1次标识标牌和消防与安全标识。应当规范清晰、路线指引正确、安装稳固。</w:t>
      </w:r>
    </w:p>
    <w:p>
      <w:pPr>
        <w:snapToGrid w:val="0"/>
        <w:spacing w:line="360" w:lineRule="auto"/>
        <w:ind w:firstLine="420" w:firstLineChars="200"/>
        <w:rPr>
          <w:rFonts w:hint="eastAsia" w:ascii="宋体" w:hAnsi="宋体" w:cs="宋体"/>
          <w:szCs w:val="21"/>
          <w:highlight w:val="none"/>
        </w:rPr>
      </w:pPr>
      <w:r>
        <w:rPr>
          <w:rFonts w:hint="eastAsia" w:ascii="宋体" w:hAnsi="宋体" w:cs="宋体"/>
          <w:bCs/>
          <w:kern w:val="0"/>
          <w:szCs w:val="21"/>
          <w:highlight w:val="none"/>
        </w:rPr>
        <w:t>2</w:t>
      </w:r>
      <w:r>
        <w:rPr>
          <w:rFonts w:ascii="宋体" w:hAnsi="宋体" w:cs="宋体"/>
          <w:bCs/>
          <w:kern w:val="0"/>
          <w:szCs w:val="21"/>
          <w:highlight w:val="none"/>
        </w:rPr>
        <w:t>.24投标人承担</w:t>
      </w:r>
      <w:r>
        <w:rPr>
          <w:rFonts w:hint="eastAsia" w:ascii="宋体" w:hAnsi="宋体" w:cs="宋体"/>
          <w:bCs/>
          <w:kern w:val="0"/>
          <w:szCs w:val="21"/>
          <w:highlight w:val="none"/>
        </w:rPr>
        <w:t>单次维修项目单价不超过人民币300元的维修项目，并提供</w:t>
      </w:r>
      <w:r>
        <w:rPr>
          <w:rFonts w:ascii="宋体" w:hAnsi="宋体" w:cs="宋体"/>
          <w:bCs/>
          <w:kern w:val="0"/>
          <w:szCs w:val="21"/>
          <w:highlight w:val="none"/>
        </w:rPr>
        <w:t>相应的备品备件</w:t>
      </w:r>
      <w:r>
        <w:rPr>
          <w:rFonts w:hint="eastAsia" w:ascii="宋体" w:hAnsi="宋体" w:cs="宋体"/>
          <w:bCs/>
          <w:kern w:val="0"/>
          <w:szCs w:val="21"/>
          <w:highlight w:val="none"/>
        </w:rPr>
        <w:t>。</w:t>
      </w:r>
    </w:p>
    <w:p>
      <w:pPr>
        <w:pStyle w:val="7"/>
        <w:adjustRightInd w:val="0"/>
        <w:snapToGrid w:val="0"/>
        <w:spacing w:line="360" w:lineRule="auto"/>
        <w:ind w:firstLine="422" w:firstLineChars="200"/>
        <w:rPr>
          <w:rFonts w:hAnsi="宋体" w:cs="宋体"/>
          <w:b/>
          <w:szCs w:val="21"/>
          <w:highlight w:val="none"/>
        </w:rPr>
      </w:pPr>
      <w:r>
        <w:rPr>
          <w:rFonts w:hAnsi="宋体" w:cs="宋体"/>
          <w:b/>
          <w:szCs w:val="21"/>
          <w:highlight w:val="none"/>
        </w:rPr>
        <w:t>（三）公共设施设备维护服务</w:t>
      </w:r>
    </w:p>
    <w:p>
      <w:pPr>
        <w:snapToGrid w:val="0"/>
        <w:spacing w:line="360" w:lineRule="auto"/>
        <w:ind w:firstLine="422" w:firstLineChars="200"/>
        <w:rPr>
          <w:rFonts w:hint="eastAsia" w:ascii="宋体" w:hAnsi="宋体"/>
          <w:szCs w:val="21"/>
          <w:highlight w:val="none"/>
        </w:rPr>
      </w:pPr>
      <w:r>
        <w:rPr>
          <w:rFonts w:hint="eastAsia" w:ascii="宋体" w:hAnsi="宋体" w:cs="宋体"/>
          <w:b/>
          <w:szCs w:val="21"/>
          <w:highlight w:val="none"/>
        </w:rPr>
        <w:t>1.公用设施设备维护服务基本要求</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1.1重大节假日及恶劣天气前后，组织系统巡检1次。</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1.2具备设施设备安全、稳定运行的环境和场所（含有限空间），温湿度、照度、粉尘和烟雾浓度等符合相关安全规范。</w:t>
      </w:r>
    </w:p>
    <w:p>
      <w:pPr>
        <w:snapToGrid w:val="0"/>
        <w:spacing w:line="360" w:lineRule="auto"/>
        <w:ind w:firstLine="422" w:firstLineChars="200"/>
        <w:rPr>
          <w:rFonts w:hint="eastAsia" w:ascii="宋体" w:hAnsi="宋体" w:cs="宋体"/>
          <w:szCs w:val="21"/>
          <w:highlight w:val="none"/>
        </w:rPr>
      </w:pPr>
      <w:r>
        <w:rPr>
          <w:rFonts w:hint="eastAsia" w:ascii="宋体" w:hAnsi="宋体" w:cs="宋体"/>
          <w:b/>
          <w:szCs w:val="21"/>
          <w:highlight w:val="none"/>
        </w:rPr>
        <w:t>2.设备机房</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2.1设备机房门口有机房类别及安全标志。落实各类机房责任人、督查人，且设备系统图、应急预案流程图、管理制度、特种作业人员资格证书等上墙文件或证书符合各设备机房国家及北京市标准规范要求，机房巡视及外来人员记录清晰完整，标识统一。</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2.2设备机房门窗、锁具应当完好、有效。</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2.3每半月至少开展1次清洁，整洁有序、无杂物、无积尘、无鼠、无虫害，温湿度符合设备运行要求。</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2.4按各设备机房国家及北京市标准规范规定维护/保管消防、通风、应急照明，防止小动物进入。</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2.5安全防护用具配置齐全，检验合格。</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2.6应急设施设备用品应当齐全、完备，可随时启用。</w:t>
      </w:r>
    </w:p>
    <w:p>
      <w:pPr>
        <w:snapToGrid w:val="0"/>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3.给排水系统管理服务</w:t>
      </w:r>
    </w:p>
    <w:p>
      <w:pPr>
        <w:snapToGrid w:val="0"/>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3.1服务内容</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3.1.1对办公楼（区）室内外给排水系统的设备、设施，如水泵、水箱、气压给水装置、水处理设备、消火栓、管道、管件、阀门、水嘴、卫生洁具、排水管、透气管及疏通、水封设备、室外排水管及其附属构筑物等正常运行使用进行日常养护维修。采用节水器具，对不符合节水器具有序更换；张贴节水宣传海报、标识，开展节水宣传活动。</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3.1.2楼内外及地下停车场给排水所使用的管道、阀门、水表等所有的配套设施设备；楼内外及地下停车场给排水所用的水池、水箱、水沟、水井、水坑、化粪池等所有的配套设施设备；</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3.1.3给排水所用的电机、水泵、管道、阀门、供电管线及配电控制设施设备等所有给排水，正常运行所需要配合的所有设施设备；</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3.1.4卫生间给排水所用的管道、阀门、蹲坑、小便斗、坐便器、拖把池、面盆、水嘴等；</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3.1.5旱喷系统所用的管道、阀门、喷头、电机、水泵、供电管线及配电控制设施设备等所有旱喷系统正常运行所需要配备的所有设施设备；</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3.1.6办公区内的所有公共开水器的给排水所用管道、阀门、电器及配电控制设施设备等；</w:t>
      </w:r>
    </w:p>
    <w:p>
      <w:pPr>
        <w:snapToGrid w:val="0"/>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3.2服务标准</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3.2.1加强日常检查巡视，保证给排水系统正常运行使用。建立正常供水管理制度，保证水质符合国家标准，防止跑、冒、滴、漏，对供水系统管路、水泵、水箱、阀门等进行日常维护和定期检修（可选具体时间间隔），水箱保持清洁卫生并定期（可选具体时间间隔）消毒，</w:t>
      </w:r>
      <w:r>
        <w:rPr>
          <w:rFonts w:hint="eastAsia" w:ascii="宋体" w:hAnsi="宋体"/>
          <w:szCs w:val="21"/>
          <w:highlight w:val="none"/>
        </w:rPr>
        <w:t>保持水池、水箱的清洁卫生，防止二次污染（应明确水箱清洗及其费用是否包含在内）。</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3.2.2定期对水泵房及机电设备进行检查、保养、维修、清洁.保持供水系统的正常运转，每周检查水泵运转情况；其中消防泵启动不少于每年4次（可选频次）。</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3.2.3每季度至少开展1次对排水管进行疏通、清污，保证室内外排水系统通畅；及时发现并解决故障，零星维修合格率100%。</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3.2.4每日必须对各种给排水设施、设备进行巡查，</w:t>
      </w:r>
      <w:r>
        <w:rPr>
          <w:rFonts w:hint="eastAsia" w:ascii="宋体" w:hAnsi="宋体"/>
          <w:szCs w:val="21"/>
          <w:highlight w:val="none"/>
        </w:rPr>
        <w:t>压力符合要求，仪表指示准确，</w:t>
      </w:r>
      <w:r>
        <w:rPr>
          <w:rFonts w:hint="eastAsia" w:ascii="宋体" w:hAnsi="宋体" w:cs="宋体"/>
          <w:szCs w:val="21"/>
          <w:highlight w:val="none"/>
        </w:rPr>
        <w:t>并建立设施设备台帐，记录设施设备的运行、检查、保养、维修记录，保证设施设备的正常使用。</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3.2.5加强值班，坚守岗位，密切注视给排水各设施、设备系统运行情况；每日派专人巡查房屋、水电、土建等设施，及时对设施、设备系统的各种出现的故障进行维修，发现问题及时报告及时处理，保障水电设施正常运转；水电、下水道堵塞等故障问题10分钟内赶到现场及时处理，做到修缮工作无积压，一般事故的抢修做到不过夜。</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3.2.6严格执行相关技术标准和服务要求，规范服务和保障；定期对排水管道进行清通、养护，清除污垢；管道局部锈蚀严重的应予以更换；水泵的轴承每年不少于1次清洗、维护、检查出水口压力，若压力表损坏及时更换；阀门开关不灵活及管沟进水，应及时处理或更换；保持室内外排水系统通畅；消防栓、消防泵设备完好；设备出现故障时，维修人员应在10分钟内到达现场，零修合格率达到100%，一般性故障排除不过夜（可选具体排除时长）。</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3.2.7水电维修服务要求24小时值班（值班人员须具备相关水电维修专业资质，能即时处理如停水、漏电、爆管、渗漏等故障，协助维保单位完成例行维护保养，能自行完成维保单位工作内容之外的日常检查、检修、清洁等工作），遇供水单位限水、停水，按规定时间通知采购人，做好值班报修电话记录，接到报修项目10分钟内赶到现场进行维修；配备具有国家规定相关资质单位及有资质人员进行上岗施工。</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3.2.8作好节约用水工作；对特定时段服务的设施设备，必须根据要求按时开关。张贴节水宣传海报、标识，开展节水宣传活动。</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3.2.9制定并执行设施设备操作规程及保养规范。</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3.2.10一年内无重大管理责任事故；根据现场情况，制定事故应急处理方案；制定停水、爆管等应急</w:t>
      </w:r>
      <w:r>
        <w:rPr>
          <w:rFonts w:hint="eastAsia" w:ascii="宋体" w:hAnsi="宋体" w:cs="宋体"/>
          <w:szCs w:val="21"/>
          <w:highlight w:val="none"/>
        </w:rPr>
        <w:t>处理程序，计划停水应提前12小时通知采购人及受影响部门，并张贴预告。</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3.2.11</w:t>
      </w:r>
      <w:r>
        <w:rPr>
          <w:rFonts w:hint="eastAsia" w:ascii="宋体" w:hAnsi="宋体" w:cs="宋体"/>
          <w:szCs w:val="21"/>
          <w:highlight w:val="none"/>
        </w:rPr>
        <w:t>生活饮用水卫生符合《生活饮用水卫生标准》（GB5749）的相关要求。</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3.2.12</w:t>
      </w:r>
      <w:r>
        <w:rPr>
          <w:rFonts w:hint="eastAsia" w:ascii="宋体" w:hAnsi="宋体" w:cs="宋体"/>
          <w:szCs w:val="21"/>
          <w:highlight w:val="none"/>
        </w:rPr>
        <w:t>二次供水卫生符合《二次供水设施卫生规范》（GB17051）的相关要求。</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3.2.13</w:t>
      </w:r>
      <w:r>
        <w:rPr>
          <w:rFonts w:hint="eastAsia" w:ascii="宋体" w:hAnsi="宋体" w:cs="宋体"/>
          <w:szCs w:val="21"/>
          <w:highlight w:val="none"/>
        </w:rPr>
        <w:t>设施设备、阀门、管道等运行正常，无跑、冒、滴、漏现象。</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3.2.14</w:t>
      </w:r>
      <w:r>
        <w:rPr>
          <w:rFonts w:hint="eastAsia" w:ascii="宋体" w:hAnsi="宋体" w:cs="宋体"/>
          <w:szCs w:val="21"/>
          <w:highlight w:val="none"/>
        </w:rPr>
        <w:t>有水泵房、水箱间的，每日至少巡视1次。每年至少养护1次水泵。</w:t>
      </w:r>
    </w:p>
    <w:p>
      <w:pPr>
        <w:snapToGrid w:val="0"/>
        <w:spacing w:line="360" w:lineRule="auto"/>
        <w:ind w:firstLine="422" w:firstLineChars="200"/>
        <w:rPr>
          <w:rFonts w:hint="eastAsia" w:ascii="宋体" w:hAnsi="宋体" w:cs="宋体"/>
          <w:szCs w:val="21"/>
          <w:highlight w:val="none"/>
        </w:rPr>
      </w:pPr>
      <w:r>
        <w:rPr>
          <w:rFonts w:hint="eastAsia" w:ascii="宋体" w:hAnsi="宋体" w:cs="宋体"/>
          <w:b/>
          <w:bCs/>
          <w:szCs w:val="21"/>
          <w:highlight w:val="none"/>
        </w:rPr>
        <w:t>4.电梯管理服务</w:t>
      </w:r>
    </w:p>
    <w:p>
      <w:pPr>
        <w:snapToGrid w:val="0"/>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4.1服务内容</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电梯运行管理和对机房设备、井道系统、轿厢设备进行日常养护维修。电梯产权单位为采购人，使用权需移交中标人。</w:t>
      </w:r>
    </w:p>
    <w:p>
      <w:pPr>
        <w:snapToGrid w:val="0"/>
        <w:spacing w:line="360" w:lineRule="auto"/>
        <w:ind w:firstLine="422" w:firstLineChars="200"/>
        <w:rPr>
          <w:rFonts w:hint="eastAsia" w:ascii="宋体" w:hAnsi="宋体" w:cs="宋体"/>
          <w:szCs w:val="21"/>
          <w:highlight w:val="none"/>
        </w:rPr>
      </w:pPr>
      <w:r>
        <w:rPr>
          <w:rFonts w:hint="eastAsia" w:ascii="宋体" w:hAnsi="宋体" w:cs="宋体"/>
          <w:b/>
          <w:bCs/>
          <w:szCs w:val="21"/>
          <w:highlight w:val="none"/>
        </w:rPr>
        <w:t>4.2服务标准</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4.2.1按照电梯的图纸资料和技术性能建立电梯运行管理、设备管理、安全管理制度，健全电梯设备档案及修理记录，确保电梯在有效运行，电梯准确启动，运行平稳，安全设备齐全有效，停层准确，投标人须按国家规范及标准，提供长期警示牌和临时警示牌，如果考虑不周、摆放不当造成安全事故的，由电梯维保单位负责。</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4.2.2电梯应经有资质的检测机构检验合格，并由专业资质维修保养单位进行定期保养，每年进行安全检测并发放有效的《安全使用许可证》，在有效期内安全运行，</w:t>
      </w:r>
      <w:r>
        <w:rPr>
          <w:rFonts w:hint="eastAsia" w:ascii="宋体" w:hAnsi="宋体" w:cs="宋体"/>
          <w:kern w:val="0"/>
          <w:szCs w:val="21"/>
          <w:highlight w:val="none"/>
        </w:rPr>
        <w:t>投标人</w:t>
      </w:r>
      <w:r>
        <w:rPr>
          <w:rFonts w:hint="eastAsia" w:ascii="宋体" w:hAnsi="宋体" w:cs="宋体"/>
          <w:szCs w:val="21"/>
          <w:highlight w:val="none"/>
        </w:rPr>
        <w:t>根据国家或行业的有关标准负责每年具体检测、试验等事宜。经采购人同意后，由</w:t>
      </w:r>
      <w:r>
        <w:rPr>
          <w:rFonts w:hint="eastAsia" w:ascii="宋体" w:hAnsi="宋体" w:cs="宋体"/>
          <w:kern w:val="0"/>
          <w:szCs w:val="21"/>
          <w:highlight w:val="none"/>
        </w:rPr>
        <w:t>投标人</w:t>
      </w:r>
      <w:r>
        <w:rPr>
          <w:rFonts w:hint="eastAsia" w:ascii="宋体" w:hAnsi="宋体" w:cs="宋体"/>
          <w:szCs w:val="21"/>
          <w:highlight w:val="none"/>
        </w:rPr>
        <w:t>直接向检测机构和维修保养单位进行委托、付费，维保费用由采购人另行向</w:t>
      </w:r>
      <w:r>
        <w:rPr>
          <w:rFonts w:hint="eastAsia" w:ascii="宋体" w:hAnsi="宋体" w:cs="宋体"/>
          <w:kern w:val="0"/>
          <w:szCs w:val="21"/>
          <w:highlight w:val="none"/>
        </w:rPr>
        <w:t>投标人</w:t>
      </w:r>
      <w:r>
        <w:rPr>
          <w:rFonts w:hint="eastAsia" w:ascii="宋体" w:hAnsi="宋体" w:cs="宋体"/>
          <w:szCs w:val="21"/>
          <w:highlight w:val="none"/>
        </w:rPr>
        <w:t>结算。具体的设备维保或专项作业活动由</w:t>
      </w:r>
      <w:r>
        <w:rPr>
          <w:rFonts w:hint="eastAsia" w:ascii="宋体" w:hAnsi="宋体" w:cs="宋体"/>
          <w:kern w:val="0"/>
          <w:szCs w:val="21"/>
          <w:highlight w:val="none"/>
        </w:rPr>
        <w:t>投标人</w:t>
      </w:r>
      <w:r>
        <w:rPr>
          <w:rFonts w:hint="eastAsia" w:ascii="宋体" w:hAnsi="宋体" w:cs="宋体"/>
          <w:szCs w:val="21"/>
          <w:highlight w:val="none"/>
        </w:rPr>
        <w:t>协助生产厂家或专业公司组织实施，采购人全过程进行监督，相关维保或作业资料由</w:t>
      </w:r>
      <w:r>
        <w:rPr>
          <w:rFonts w:hint="eastAsia" w:ascii="宋体" w:hAnsi="宋体" w:cs="宋体"/>
          <w:kern w:val="0"/>
          <w:szCs w:val="21"/>
          <w:highlight w:val="none"/>
        </w:rPr>
        <w:t>投标人</w:t>
      </w:r>
      <w:r>
        <w:rPr>
          <w:rFonts w:hint="eastAsia" w:ascii="宋体" w:hAnsi="宋体" w:cs="宋体"/>
          <w:szCs w:val="21"/>
          <w:highlight w:val="none"/>
        </w:rPr>
        <w:t>代采购人整理、存档；</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4.2.3有专业人员对电梯保养进行监督，从事电梯专业工作达3年（含）以上。并对电梯运行进行管理，包括对机房设备、井道系统、轿厢设备进行日常运行管理和定期检查、维护、保养，保证所有电梯照明及内选外呼、层楼显示的巡视和修理，正常工作时间不得进行维护保养工作，如遇特殊情况应跟采购人进行沟通并得到书面允许以后方可进行。</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4.2.4保持电梯轿厢内、外按钮及灯具等配件、并道、底坑、机房及各梯整流控制柜的清洁，随时保障客（货）梯的清洁卫生，每日（可选频次）应该对客（货）梯的公共接触部位进行消毒处理。</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4.2.5有电梯突发事件或事故的应急措施与救援预案，每年至少开展演练1次。电梯出现故障，物业服务人员10分钟内到场应急处理，维保专业人员30分钟内到场应急处理。</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4.2.6密切监视和掌握电梯的运行动态，及时做好需变动的电梯运行的调度、管理工作，投标人须对工作中的人员安全负责，若在工作过程中造成安全事故或造成他人人身安全事故的，由投标人位负责。投标人在服务过程中应自行配备维修维护所需工具、设备、仪器、耗材等。</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4.2.7电梯准用证、年检合格证、维修保养合同完备，客（货）梯内求救警钟保持正常工作状态;安全标志明显、齐备。</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4.2.8电梯维保质量符合TSG 08-2017规范的要求。电梯运行管理和对机房设备、井道系统、轿厢设备进行日常运行管理，每日检查，每周维护、保养,其中《北京市市场监督管理局关于印发做好改进电梯维护保养模式和调整电梯检验检测试点工作实施方案的通知》京市监发（2020）144号要求，现场维保间隔不超过3个月（可选3个月以内间隔）。</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4.2.9电梯运行平稳、无异响、平层、开关正常。每周至少开展2次电梯的安全状况检查。</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4.2.10电梯准用证、年检合格证等证件齐全。相关证件、紧急救援电话和乘客注意事项置于轿厢醒目位置。</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4.2.11每年至少开展1次对电梯的全面检测，并出具检测报告，核发电梯使用标志。</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4.2.12电梯维保应当符合《电梯维护保养规则》（TSG T5002）的有关要求。</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4.2.13电梯使用应当符合《特种设备使用管理规则》（TSG 08）的有关要求。</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4.2.14到场进行救助和排除故障。电梯紧急电话保持畅通。</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4.2.15电梯维修、保养时在现场设置提示标识和防护围栏。</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4.2.16根据采购人需求，合理设置电梯开启的数量、时间。</w:t>
      </w:r>
    </w:p>
    <w:p>
      <w:pPr>
        <w:snapToGrid w:val="0"/>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5.供配电、弱电、照明系统管理服务</w:t>
      </w:r>
    </w:p>
    <w:p>
      <w:pPr>
        <w:snapToGrid w:val="0"/>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5.1服务内容</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对办公楼（区）供电系统高、低压电器设备、电线电缆、电气照明装置等设备正常运行使用进行日常管理和养护维修。</w:t>
      </w:r>
    </w:p>
    <w:p>
      <w:pPr>
        <w:snapToGrid w:val="0"/>
        <w:spacing w:line="360" w:lineRule="auto"/>
        <w:ind w:firstLine="422" w:firstLineChars="200"/>
        <w:rPr>
          <w:rFonts w:hint="eastAsia" w:ascii="宋体" w:hAnsi="宋体"/>
          <w:szCs w:val="21"/>
          <w:highlight w:val="none"/>
        </w:rPr>
      </w:pPr>
      <w:r>
        <w:rPr>
          <w:rFonts w:hint="eastAsia" w:ascii="宋体" w:hAnsi="宋体" w:cs="宋体"/>
          <w:b/>
          <w:bCs/>
          <w:szCs w:val="21"/>
          <w:highlight w:val="none"/>
        </w:rPr>
        <w:t>5.2服务标准</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5.2.1对供电范围内的电气设备定期巡视维护和重点检测，建立各项设备档案，做到安全、合理、节约用电。</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5.2.2建立、落实配送电运行制度、电气维修制度、配电室管理制度、24小时运行维修值班制度和实时监测系统值守、运行管理制度并做好运行记录及设施设备台帐等，记录设施设备的运行、检查、保养、维修记录，保证设施设备的正常使用。</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5.2.3建立24小时运行值班监控制度，及时排除故障，零星维修合格率100%，加强值班，坚守岗位，密切注视高、低压供电设施、设备系统运行情况，及时排除故障，保证供电设施完好。供电运行和维修人员必须持证上岗。</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5.2.4配合做好通信综合布线系统的维修服务,配合广电设施的安装、迁移等服务。做好通信线路管理维护资料的建立、存档。</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5.2.5配合做好通信端口故障检测、通信端口损坏更换安装、电话机位置迁移时的电话线的布置安装、信息端口的搬迁任务。</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5.2.6加强日常维护检修，管理和维护好避雷设施。设备出现故障时，维修人员应在10分钟内到达现场，一般性故障立即排除，设备零修合格率达到100％，一般性维修不过夜，应急措施得当有效。</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5.2.7建立各项设备档案，配电室运行管理人员每月应配合供电部门对法定表计进行抄计工作，并作好记录备查。</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5.2.8建立、落实配送电运行制度、电气维修制度、配电室管理制度、24小时运行维修值班制度和实时监测系统值守、运行管理制度并做好运行记录及设施设备台帐等，记录设施设备的运行、检查、保养、维修记录，保证设施设备的正常使用。</w:t>
      </w:r>
    </w:p>
    <w:p>
      <w:pPr>
        <w:snapToGrid w:val="0"/>
        <w:spacing w:line="360" w:lineRule="auto"/>
        <w:ind w:firstLine="420" w:firstLineChars="200"/>
        <w:rPr>
          <w:rFonts w:hint="eastAsia" w:ascii="宋体" w:hAnsi="宋体" w:cs="宋体"/>
          <w:szCs w:val="21"/>
        </w:rPr>
      </w:pPr>
      <w:r>
        <w:rPr>
          <w:rFonts w:hint="eastAsia" w:ascii="宋体" w:hAnsi="宋体" w:cs="宋体"/>
          <w:szCs w:val="21"/>
          <w:highlight w:val="none"/>
        </w:rPr>
        <w:t>5.2.9配电室主、备供线路在无特殊情况时，需提前告知采购人，倒闸时间不应超过3分钟（根据标准规范自行确定），发电机应急起动时间不应超过1分钟（根据标准规范自行确定），配电室所配备的发电机必须根据发电机特性，由专业单位定期进行各项维护检查和启动试验，保证事故停</w:t>
      </w:r>
      <w:r>
        <w:rPr>
          <w:rFonts w:hint="eastAsia" w:ascii="宋体" w:hAnsi="宋体" w:cs="宋体"/>
          <w:szCs w:val="21"/>
        </w:rPr>
        <w:t>电时正常起动，并作好检查记录备查；因工程维修保养等原因停电，应提前一周（可选时间）书面通知用电单位，经批准后方可实施，因突发事件停电，应在积极处理的同时报告相关部门，并在恢复供电24小时（可选时间）内向相关方做出解释、说明。</w:t>
      </w:r>
    </w:p>
    <w:p>
      <w:pPr>
        <w:snapToGrid w:val="0"/>
        <w:spacing w:line="360" w:lineRule="auto"/>
        <w:ind w:firstLine="420" w:firstLineChars="200"/>
        <w:rPr>
          <w:rFonts w:hint="eastAsia" w:ascii="宋体" w:hAnsi="宋体" w:cs="宋体"/>
          <w:szCs w:val="21"/>
        </w:rPr>
      </w:pPr>
      <w:r>
        <w:rPr>
          <w:rFonts w:hint="eastAsia" w:ascii="宋体" w:hAnsi="宋体" w:cs="宋体"/>
          <w:szCs w:val="21"/>
        </w:rPr>
        <w:t>5.2.10做好重大活动、重要会议、夜景照明、节日灯系统等的服务保障工作，变配电设备在重大活动、重要会议、节假日前必须进行一次（可选频次）安全检查，检查结果报相关部门备案，保证重大活动、重要会议、夜景照明、节日灯系统正常运行，并按时关启。</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rPr>
        <w:t>5.2.11定期清扫检查变压器、配电装置、检查仪表、空开配电盘等是否正常，出现问题及时更换，配电室内应做到清</w:t>
      </w:r>
      <w:r>
        <w:rPr>
          <w:rFonts w:hint="eastAsia" w:ascii="宋体" w:hAnsi="宋体" w:cs="宋体"/>
          <w:szCs w:val="21"/>
          <w:highlight w:val="none"/>
        </w:rPr>
        <w:t>洁卫生、整齐有序，经常检查各封堵部位，杜绝小动物进入配电室内。</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5.2.12外线工作人员需具备</w:t>
      </w:r>
      <w:r>
        <w:rPr>
          <w:rFonts w:hint="eastAsia" w:ascii="宋体" w:hAnsi="宋体"/>
          <w:kern w:val="0"/>
          <w:szCs w:val="21"/>
          <w:highlight w:val="none"/>
        </w:rPr>
        <w:t>高压电工作业证</w:t>
      </w:r>
      <w:r>
        <w:rPr>
          <w:rFonts w:hint="eastAsia" w:ascii="宋体" w:hAnsi="宋体" w:cs="宋体"/>
          <w:szCs w:val="21"/>
          <w:highlight w:val="none"/>
        </w:rPr>
        <w:t>，维修操作时应有安全监护人员在场。</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5.2.13大楼各出入口及楼道备有充电式紧急照明设备。购置后备部件，以防急用。建立节电措施，统筹规划，做到合理、节约用电。配合采购人办理相关保供电手续。</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5.2.14 建筑外观照明管理符合《北京市党政机关、国有企事业单位办公建筑外观照明强化节能导则(试行)的通知》（京发改〔2022〕88号）要求。</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5.2.15 对供电范围内的电气设备定期巡视维护，加强高低压配电柜、配电箱、控制柜及线路等重点部位监测。</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5.2.16 公共使用的照明、指示灯具线路、开关、接地等保持完好，确保用电安全。</w:t>
      </w:r>
      <w:r>
        <w:rPr>
          <w:rFonts w:hint="eastAsia"/>
          <w:szCs w:val="21"/>
          <w:highlight w:val="none"/>
        </w:rPr>
        <w:t>根据不同季节、不同天气条件下自然光照特点和不同时段的照度需求，优化公共区域照明方案。</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5.2.17 核心部位用电建立高可控用电保障和配备应急发电设备，定期维护应急发电设备。定期对用能状况进行分析,提高能源利用效率。</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5.2.18 发生非计划性停电的，应当在事件发生后及时通知采购人，快速恢复或启用应急电源，并做好应急事件上报及处理工作。</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5.2.19 复杂故障涉及供电部门维修处置的及时与供电部门联系，并向采购人报告。</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5.2.20 安全防范系统维护保养符合《安全防范系统维护保养规范》（GA/T 1081）的相关要求。</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5.2.21 保持监控系统、门禁系统、安全防范系统等运行正常，有故障及时排除。</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5.2.22 外观整洁无缺损、无松落。</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5.2.23 更换的照明灯具应当选用节能环保产品，亮度与更换前保持一致。</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5.2.24 每日至少开展1次公共区域照明设备巡视。</w:t>
      </w:r>
    </w:p>
    <w:p>
      <w:pPr>
        <w:snapToGrid w:val="0"/>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6.消防系统运行维护管理服务</w:t>
      </w:r>
    </w:p>
    <w:p>
      <w:pPr>
        <w:snapToGrid w:val="0"/>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6.1服务内容</w:t>
      </w:r>
    </w:p>
    <w:p>
      <w:pPr>
        <w:snapToGrid w:val="0"/>
        <w:spacing w:line="360" w:lineRule="auto"/>
        <w:ind w:firstLine="420" w:firstLineChars="200"/>
        <w:rPr>
          <w:rFonts w:hint="eastAsia" w:ascii="宋体" w:hAnsi="宋体" w:cs="宋体"/>
          <w:szCs w:val="21"/>
          <w:highlight w:val="none"/>
        </w:rPr>
      </w:pPr>
      <w:r>
        <w:rPr>
          <w:rFonts w:hint="eastAsia" w:ascii="宋体" w:hAnsi="宋体"/>
          <w:szCs w:val="21"/>
          <w:highlight w:val="none"/>
        </w:rPr>
        <w:t>落实消防安全责任制，明确逐级和岗位消防安全职责；成立义务消防队，每年进行1次消防演练，相关人员掌握消防基本知识和技能；发生火情及时报警，并采取必要处理措施，协助配合消防人员的工作；消防控制室设专业人员24小时值守，处理各类报警信息；管理制度、应急预案张贴在显著位置，备存紧急消防物资。</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对火灾自动报警系统、自动喷淋系统、室内灭火栓、排防烟系统、安全疏散、应急系统、防火门系统、二氧化碳等灭火系统进行日常管理和养护维修方案。</w:t>
      </w:r>
    </w:p>
    <w:p>
      <w:pPr>
        <w:snapToGrid w:val="0"/>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6.2服务标准</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6.2.1 由取得消防设施设备维护经营许可的专业维修保养单位来保养。严格执行消防法规，建立消防安全管理制度，搞好消防管理工作，确保整个系统处于良好的状态，落实消防安全责任制，设消防安全负责人，逐级逐岗明确消防安全职责。</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6.2.2 定期检查保养消防设备，协助消防维保单位进行烟感系统、手动报警器、水压测试等维保工作。</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6.2.3 消防监控系统运行良好，自动和手动报警设施启动正常。保证楼宇消防自动报警系统、门禁系统、自控系统及闭路监控系统运行正常，各系统工作稳定。配备专业维护人员，设定24小时设备值班岗位，及时处理设备运行中的问题及各类报警、故障信息，维护人员须具备从业岗位有效期内证书，经过培训熟悉系统结构和设备性能、特点及操作规程。</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6.2.4 保证消防自动报警设备、闭路监控设备灵敏可靠。</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6.2.5 每日消防巡查，每月对消防设备定期检查一次，保障疏散通道、安全出口、消防车通道和消防设施、器材符合消防安全要求。发现消防安全违法行为和火灾隐患，立即纠正、排除。重大节日、重要活动、节假日增加检查次数，有故障时，维修人员应及时到场。</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6.2.6 制定切合实际、实施有效的消防紧急处理预案，定期组织全员学习，熟练掌握，并进行计划性实战演习，强化记忆，熟知处理流程。经常组织义务消防员的培训和演习；</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6.2.7 消防设施的维护管理符合《建筑消防设施的维护管理》（GB25201）的相关要求。</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6.2.8 消防设备检测符合《建筑消防设施检测技术规程》（GA503或XF503）的相关要求。</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6.2.9 消防设施平面图、火警疏散示意图、防火分区图等按幢设置在楼层醒目位置。</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6.2.10 消防系统各设施设备使用说明清晰，宜图文结合。</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6.2.11 按有关要求完成灭火器年检。</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6.2.12 24小时接听电梯轿厢内救援电话。</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6.2.13 按要求协助采购人进行消电检。</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6.2.14 建立微型消防站，配备必要的消防器材，相关人员掌握消防基本知识和技能。</w:t>
      </w:r>
    </w:p>
    <w:p>
      <w:pPr>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6.3消防设施设备维修养护</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6.3.1火灾自动报警系统</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①火灾报警控制器、联动控制设备</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每日巡查1次设备运行情况，保证24小时连续正常运行；每月检查测试1次报警控制器、联动控制设备的报警、联动控制、显示、打印等功能；每年机柜内部除尘1次。</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②火灾报警探测器、手动报警按钮、警报装置</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每月抽查测试1次火灾报警探测器、手动报警按钮、警报装置的报警、警报功能；</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③备用电源</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每月检测切换1次主、备电源；每季度备用电源、蓄电池充放电试验1次。</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6.3.2消防广播系统</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每月检查测试1次消防专用电话、重要场所的对讲电话、对讲电话主机、播音设备、扩音器、扬声器的联动、强制切换功能，并测试音量；每半年机柜内部除尘1次；每半年机柜内的设备内部除尘1次。</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6.3.3防排烟系统</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每月检查测试1次防排烟风机、排烟阀的联动功能；核对风速；每年养护1次防排烟风机、电源控制柜、风口、排烟阀等。</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6.3.4防火分隔设施</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每月抽查测试1次防火门的启闭功能、防火卷帘的手动和自动控制功能、电动防火阀的联动关闭功能；每年在防火卷帘门的电机转动、齿轮链条传动部位补充1次润滑油，电控箱内部除尘1次；每年维修养护2次防火门附件，在门的转动部位补充1次润滑油。</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6.3.5水灭火系统</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消防泵、喷淋泵每月盘车1次，每半年检查1次润滑情况；每年养护1次室内、外消火栓。</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6.3.6应急照明、疏散指示标志</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每月测试切断正常供电1次，测量1次照度和供电时间。</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6.3.7消防电梯</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每月检查测试1次按钮迫降和联动控制功能，轿箱内消防电话。</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6.3.8灭火器</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每周巡查1次灭火器数量、位置情况，每月检查核对1次灭火器选型、压力和有效期，保证处于完好状态。每年按照相关要求进行灭火器年检。采购人负责自行签订消电检合同，制定相关计划，物业需对检测工作进行配合。</w:t>
      </w:r>
    </w:p>
    <w:p>
      <w:pPr>
        <w:snapToGrid w:val="0"/>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7.空调系统管理服务</w:t>
      </w:r>
    </w:p>
    <w:p>
      <w:pPr>
        <w:snapToGrid w:val="0"/>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7.1服务内容</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空调系统的运行管理及冷水机组、新风机组、水泵、风机盘管、热交换器、管道系统、各种阀类、采气装置和各类风口、自动控制系统等设备的日常养护维修。</w:t>
      </w:r>
    </w:p>
    <w:p>
      <w:pPr>
        <w:snapToGrid w:val="0"/>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7.2服务标准</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7.2.1建立空调运行管理制度和安全操作规程，保证空调系统安全运行和正常使用，运行中无超标噪音和严重滴漏水现象。</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7.2.2定期检修养护空调设备，保证空调设备、设施处于良好状态。投标人根据国家或行业的有关标准负责每年具体检测、试验等事宜，确保检测、试验结果满足相关规定标准。</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7.2.3空调系统出现运行故障后，维修人员应及时到达现场维修，并做好记录，零星维修合格率100%。</w:t>
      </w:r>
      <w:r>
        <w:rPr>
          <w:rFonts w:hint="eastAsia" w:ascii="宋体" w:hAnsi="宋体" w:cs="宋体"/>
          <w:szCs w:val="21"/>
          <w:highlight w:val="none"/>
          <w:lang w:val="en-US" w:eastAsia="zh-CN"/>
        </w:rPr>
        <w:t>维修应</w:t>
      </w:r>
      <w:r>
        <w:rPr>
          <w:rFonts w:hint="eastAsia" w:ascii="宋体"/>
          <w:szCs w:val="21"/>
          <w:highlight w:val="none"/>
        </w:rPr>
        <w:t>选用符合环保标准的材料。</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7.2.4集中空调系统维保或专项作业需要生产厂家或专业公司进行，由采购人直接向生产厂家或专业公司进行委托、付费。具体的设备维保或专项作业活动由投标人协助生产厂家或专业公司组织实施，采购人全过程进行监督，相关维保或作业资料由</w:t>
      </w:r>
      <w:r>
        <w:rPr>
          <w:rFonts w:hint="eastAsia" w:ascii="宋体" w:hAnsi="宋体" w:cs="宋体"/>
          <w:kern w:val="0"/>
          <w:szCs w:val="21"/>
          <w:highlight w:val="none"/>
        </w:rPr>
        <w:t>投标人</w:t>
      </w:r>
      <w:r>
        <w:rPr>
          <w:rFonts w:hint="eastAsia" w:ascii="宋体" w:hAnsi="宋体" w:cs="宋体"/>
          <w:szCs w:val="21"/>
          <w:highlight w:val="none"/>
        </w:rPr>
        <w:t>代采购人整理、存档；</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7.2.5</w:t>
      </w:r>
      <w:r>
        <w:rPr>
          <w:rFonts w:hint="eastAsia" w:ascii="宋体" w:hAnsi="宋体" w:cs="宋体"/>
          <w:kern w:val="0"/>
          <w:szCs w:val="21"/>
          <w:highlight w:val="none"/>
        </w:rPr>
        <w:t>投标人</w:t>
      </w:r>
      <w:r>
        <w:rPr>
          <w:rFonts w:hint="eastAsia" w:ascii="宋体" w:hAnsi="宋体" w:cs="宋体"/>
          <w:szCs w:val="21"/>
          <w:highlight w:val="none"/>
        </w:rPr>
        <w:t>需综合、全面考虑集中空调系统要求和值守人员及综合维修人员的合理安排（要求设施、设备系统和值机人员及综合维修人员可根据实际情况进行必要的调整）；集中空调系统维修保障，需</w:t>
      </w:r>
      <w:r>
        <w:rPr>
          <w:rFonts w:hint="eastAsia" w:ascii="宋体" w:hAnsi="宋体" w:cs="宋体"/>
          <w:kern w:val="0"/>
          <w:szCs w:val="21"/>
          <w:highlight w:val="none"/>
        </w:rPr>
        <w:t>投标人</w:t>
      </w:r>
      <w:r>
        <w:rPr>
          <w:rFonts w:hint="eastAsia" w:ascii="宋体" w:hAnsi="宋体" w:cs="宋体"/>
          <w:szCs w:val="21"/>
          <w:highlight w:val="none"/>
        </w:rPr>
        <w:t>全年24小时值守（值守人员须具备制冷与空调作业证，能即时处理简单故障，协助维保单位完成例行维护保养，能自行完成维保单位工作内容之外的日常检查、检修、清洁等工作）；</w:t>
      </w:r>
      <w:r>
        <w:rPr>
          <w:rFonts w:hint="eastAsia" w:ascii="宋体" w:hAnsi="宋体" w:cs="宋体"/>
          <w:kern w:val="0"/>
          <w:szCs w:val="21"/>
          <w:highlight w:val="none"/>
        </w:rPr>
        <w:t>投标人</w:t>
      </w:r>
      <w:r>
        <w:rPr>
          <w:rFonts w:hint="eastAsia" w:ascii="宋体" w:hAnsi="宋体" w:cs="宋体"/>
          <w:szCs w:val="21"/>
          <w:highlight w:val="none"/>
        </w:rPr>
        <w:t>在服务过程中应自行配备维修维护所需工具、仪器、耗材等，采购人不予提供。</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7.2.6集中空调系统夏季空调温度不低于26摄氏度（在符合政策要求的前提下可选），冬季空调温度不高于20摄氏度（在符合政策要求的前提下可选），建立节电措施，分时调控、节约用电。</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7.2.7公共场所室内温度符合《北京市公共场所室内温度控制导则（试行）》（京发改〔2022〕1673号）的要求。</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7.2.8空调通风系统运行管理符合《空调通风系统运行管理标准》（GB50365）的相关要求。</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7.2.9办公楼内温湿度、空气质量等符合《室内空气质量标准》（GB/T18883）的相关要求。</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7.2.10定期维保并做好记录，保证空调设施设备处于良好状态。</w:t>
      </w:r>
      <w:r>
        <w:rPr>
          <w:rFonts w:hint="eastAsia" w:ascii="宋体"/>
          <w:szCs w:val="21"/>
          <w:highlight w:val="none"/>
        </w:rPr>
        <w:t>定期检查维护建筑围护结构及门窗，减少冷热空气渗透。</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7.2.11中央空调运行前对冷水机组、循环水泵、冷却塔、风机等设施设备进行系统检查，运行期间每日至少开展1次运行情况巡查。</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7.2.12每半年至少开展1次管道、阀门检查并除锈。</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7.2.13协助采购人，每年至少开展1次系统整体性维修养护，检验1次压力容器、仪表及冷却塔噪声。</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7.2.14协助采购人，每年至少开展1次新风机、空气处理机滤网等清洗消毒；每2年至少开展1次风管清洗消毒。</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7.2.15协助采购人，每年至少开展1次分体式空调主机（含空调过滤网）和室外机清洁。每月至少开展1次挂机和室外支架稳固性巡查。</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7.2.16制冷、供暖系统温度设定及启用时间符合节能要求。</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7.2.17发现故障或损坏应当在30分钟内到场，紧急维修应当在15分钟内到达现场，在12小时内维修完毕。</w:t>
      </w:r>
    </w:p>
    <w:p>
      <w:pPr>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8.节能减排</w:t>
      </w:r>
    </w:p>
    <w:p>
      <w:pPr>
        <w:snapToGrid w:val="0"/>
        <w:spacing w:line="360" w:lineRule="auto"/>
        <w:ind w:firstLine="420" w:firstLineChars="200"/>
        <w:rPr>
          <w:rFonts w:hint="eastAsia" w:ascii="宋体" w:hAnsi="宋体"/>
          <w:szCs w:val="21"/>
          <w:highlight w:val="none"/>
        </w:rPr>
      </w:pPr>
      <w:r>
        <w:rPr>
          <w:rFonts w:hint="eastAsia" w:ascii="宋体" w:hAnsi="宋体" w:cs="宋体"/>
          <w:szCs w:val="21"/>
          <w:highlight w:val="none"/>
        </w:rPr>
        <w:t>重点用能系统、设备操作岗位应当配备专业技术人员，制定有具体措施、有具体目标的节能减排方案。</w:t>
      </w:r>
    </w:p>
    <w:p>
      <w:pPr>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9.其他公共设备维护保养管理服务</w:t>
      </w:r>
    </w:p>
    <w:p>
      <w:pPr>
        <w:pStyle w:val="7"/>
        <w:adjustRightInd w:val="0"/>
        <w:snapToGrid w:val="0"/>
        <w:spacing w:line="360" w:lineRule="auto"/>
        <w:ind w:firstLine="422" w:firstLineChars="200"/>
        <w:rPr>
          <w:rFonts w:hAnsi="宋体" w:cs="宋体"/>
          <w:b/>
          <w:szCs w:val="21"/>
          <w:highlight w:val="none"/>
        </w:rPr>
      </w:pPr>
      <w:r>
        <w:rPr>
          <w:rFonts w:hAnsi="宋体" w:cs="宋体"/>
          <w:b/>
          <w:szCs w:val="21"/>
          <w:highlight w:val="none"/>
        </w:rPr>
        <w:t>（四）保洁服务</w:t>
      </w:r>
    </w:p>
    <w:p>
      <w:pPr>
        <w:snapToGrid w:val="0"/>
        <w:spacing w:line="360" w:lineRule="auto"/>
        <w:ind w:firstLine="422" w:firstLineChars="200"/>
        <w:rPr>
          <w:rFonts w:hint="eastAsia" w:ascii="宋体" w:hAnsi="宋体" w:cs="宋体"/>
          <w:szCs w:val="21"/>
          <w:highlight w:val="none"/>
        </w:rPr>
      </w:pPr>
      <w:r>
        <w:rPr>
          <w:rFonts w:hint="eastAsia" w:ascii="宋体" w:hAnsi="宋体" w:cs="宋体"/>
          <w:b/>
          <w:bCs/>
          <w:szCs w:val="21"/>
          <w:highlight w:val="none"/>
        </w:rPr>
        <w:t>1.服务内容</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办公用房区域保洁、公共场地区域保洁、垃圾处理、卫生消毒，如办公楼（区）内楼梯、大厅、走廊、天台、电梯间、卫生间、楼宇外墙等所有公共部位，办公区域道路、院落、停车场（库）等所有公共场地及“门前三包”区域的日常清洁、保洁及保养；垃圾等废弃物清理、生活水池清洗和化粪池清掏等；</w:t>
      </w:r>
      <w:r>
        <w:rPr>
          <w:rFonts w:hint="eastAsia" w:ascii="宋体" w:hAnsi="宋体" w:cs="宋体"/>
          <w:kern w:val="0"/>
          <w:szCs w:val="21"/>
          <w:highlight w:val="none"/>
        </w:rPr>
        <w:t>投标人</w:t>
      </w:r>
      <w:r>
        <w:rPr>
          <w:rFonts w:hint="eastAsia" w:ascii="宋体" w:hAnsi="宋体" w:cs="宋体"/>
          <w:szCs w:val="21"/>
          <w:highlight w:val="none"/>
        </w:rPr>
        <w:t>自行配备各类清洁机械设备，购置所需卫生清洁保洁、保养用品等。</w:t>
      </w:r>
    </w:p>
    <w:p>
      <w:pPr>
        <w:numPr>
          <w:ilvl w:val="0"/>
          <w:numId w:val="2"/>
        </w:numPr>
        <w:adjustRightInd w:val="0"/>
        <w:snapToGrid w:val="0"/>
        <w:spacing w:line="360" w:lineRule="auto"/>
        <w:ind w:firstLine="422" w:firstLineChars="200"/>
        <w:jc w:val="left"/>
        <w:rPr>
          <w:rFonts w:hint="eastAsia" w:ascii="宋体" w:hAnsi="宋体" w:cs="宋体"/>
          <w:b/>
          <w:bCs/>
          <w:szCs w:val="21"/>
          <w:highlight w:val="none"/>
        </w:rPr>
      </w:pPr>
      <w:r>
        <w:rPr>
          <w:rFonts w:hint="eastAsia" w:ascii="宋体" w:hAnsi="宋体" w:cs="宋体"/>
          <w:b/>
          <w:szCs w:val="21"/>
          <w:highlight w:val="none"/>
        </w:rPr>
        <w:t>服务标准</w:t>
      </w:r>
    </w:p>
    <w:p>
      <w:pPr>
        <w:snapToGrid w:val="0"/>
        <w:spacing w:line="360" w:lineRule="auto"/>
        <w:ind w:firstLine="420" w:firstLineChars="200"/>
        <w:rPr>
          <w:rFonts w:hint="eastAsia" w:ascii="宋体" w:hAnsi="宋体" w:cs="宋体"/>
          <w:b/>
          <w:bCs/>
          <w:szCs w:val="21"/>
          <w:highlight w:val="none"/>
        </w:rPr>
      </w:pPr>
      <w:r>
        <w:rPr>
          <w:rFonts w:hint="eastAsia" w:ascii="宋体" w:hAnsi="宋体" w:cs="宋体"/>
          <w:szCs w:val="21"/>
          <w:highlight w:val="none"/>
        </w:rPr>
        <w:t>2.1基本要求</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建立保洁服务的工作制度及工作计划，并按照执行。做好保洁服务工作记录，记录填写规范、保存完好。作业时采取安全防护措施，防止对作业人员或他人造成伤害。相关耗材的环保、安全性等应当符合国家相关规定要求</w:t>
      </w:r>
      <w:r>
        <w:rPr>
          <w:rFonts w:hint="eastAsia" w:ascii="宋体"/>
          <w:szCs w:val="21"/>
          <w:highlight w:val="none"/>
        </w:rPr>
        <w:t>，选用符合环保标准的材料</w:t>
      </w:r>
      <w:r>
        <w:rPr>
          <w:rFonts w:hint="eastAsia" w:ascii="宋体" w:hAnsi="宋体" w:cs="宋体"/>
          <w:szCs w:val="21"/>
          <w:highlight w:val="none"/>
        </w:rPr>
        <w:t>。进入保密区域时，有采购人相关人员全程在场。</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2.2办公用房区域保洁</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2.2.1大厅、楼内公共通道</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（1）公共通道保持干净，无异味、无杂物、无积水，每日至少开展1次清洁作业。指示牌干净，无污渍，每日至少开展1次清洁作业。</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地面：各大厅地面每日全面清洁三次（上班前、中午及适当时间），做到干净、光亮、无脚印、无水迹、无陈旧性垃圾；每月用专用设备清洗、保养一次，每半年对地面进行一次专业的抛光处理。办公用房区域、公共场所区域和周围环境预防性卫生消毒，消毒后及时通风，每周至少开展1次作业。</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（3）墙面及玻璃：每日清洁、擦抹一次，做到光亮、目视无污渍；玻璃门、玻璃幕墙循环保洁，保持无印迹、无粘附物。</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（4）烟痰桶：每日清洁、擦抹二次，每日更换沙盘，循环保洁、清理烟头、痰迹，桶内垃圾日产日清，烟痰桶保持光亮、无污迹、无粘附物、无异味。</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（5）标识牌：每日清洁、擦抹一次，做到无尘、无粘附物；</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（6）顶部玻璃、墙面等每季度清洗一次。</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（7）休息区：每日对沙发、茶几清洁、擦抹二次，随时保洁。</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（8）地垫的清洁：雨天设置“小心地滑”提示牌，每周清洗一次，保证无污渍。</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（9）绿色草垫：每月清洗一次，随时保洁。</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2.2.2电器、消防等设施设备</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（1）配电箱、设备机房、会议室音视频设备、消防栓及开关插座等保持表面干净，无尘无污迹，每月至少开展1次清洁作业。</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（2）监控摄像头、门禁系统等表面光亮，无尘、无斑点，每月至少开展1次清洁作业。</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（3）消防栓（箱）、应急灯、灭火器、电源开关盒、踢脚线、楼道梁肩等部位每周清洁、擦抹一次，做到整洁、无灰尘、标识清晰。</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2.2.3楼层保洁</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（1）楼梯及楼梯间保持干净、无异味、无杂物、无积水，每日至少开展1次清洁作业。</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（2）开水间保持干净、无异味、无杂物、无积水，每日至少开展1次清洁作业。</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（3）作业工具间：保持干净，无异味、无杂物、无积水，每日至少开展1次清洁作业。</w:t>
      </w:r>
      <w:r>
        <w:rPr>
          <w:rFonts w:hint="eastAsia" w:ascii="宋体" w:hAnsi="宋体" w:cs="Calibri"/>
          <w:szCs w:val="21"/>
          <w:highlight w:val="none"/>
        </w:rPr>
        <w:t>作业工具摆放整齐有序，表面干净无渍，每日消毒。</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（4）地面：每日二次彻底清洁地面卫生；其余时间循环保洁，做到干净、整洁、光亮、无陈旧性垃圾。</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（5）天花顶：定期清洁除尘，保持无灰尘、无蜘蛛网。</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（6）办公室门及公共区域玻璃：每周清洁、擦抹一次，做到光亮、目视无污渍；窗台每日保洁，保持无灰尘、无污迹。</w:t>
      </w:r>
      <w:r>
        <w:rPr>
          <w:rFonts w:hint="eastAsia" w:ascii="宋体" w:hAnsi="宋体" w:cs="Calibri"/>
          <w:szCs w:val="21"/>
          <w:highlight w:val="none"/>
        </w:rPr>
        <w:t>门窗玻璃干净无尘，透光性好，每周至少开展</w:t>
      </w:r>
      <w:r>
        <w:rPr>
          <w:rFonts w:ascii="宋体" w:hAnsi="宋体" w:cs="Calibri"/>
          <w:szCs w:val="21"/>
          <w:highlight w:val="none"/>
        </w:rPr>
        <w:t>1</w:t>
      </w:r>
      <w:r>
        <w:rPr>
          <w:rFonts w:hint="eastAsia" w:ascii="宋体" w:hAnsi="宋体" w:cs="Calibri"/>
          <w:szCs w:val="21"/>
          <w:highlight w:val="none"/>
        </w:rPr>
        <w:t>次清洁作业。</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2.2.4公共卫生间：</w:t>
      </w:r>
    </w:p>
    <w:p>
      <w:pPr>
        <w:snapToGrid w:val="0"/>
        <w:spacing w:line="360" w:lineRule="auto"/>
        <w:ind w:firstLine="420" w:firstLineChars="200"/>
        <w:rPr>
          <w:rFonts w:hint="eastAsia" w:ascii="宋体" w:hAnsi="宋体" w:cs="Calibri"/>
          <w:szCs w:val="21"/>
          <w:highlight w:val="none"/>
        </w:rPr>
      </w:pPr>
      <w:r>
        <w:rPr>
          <w:rFonts w:hint="eastAsia" w:ascii="宋体" w:hAnsi="宋体" w:cs="宋体"/>
          <w:szCs w:val="21"/>
          <w:highlight w:val="none"/>
        </w:rPr>
        <w:t>（1）保持干净，无异味，垃圾无溢出，每日至少开展1次清洁作业。</w:t>
      </w:r>
      <w:r>
        <w:rPr>
          <w:rFonts w:hint="eastAsia" w:ascii="宋体" w:hAnsi="宋体" w:cs="Calibri"/>
          <w:szCs w:val="21"/>
          <w:highlight w:val="none"/>
        </w:rPr>
        <w:t>及时补充厕纸等必要用品。</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（2）卫生间保洁时设置“工作进行中”提示牌人性化服务。</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（3）大（小）便器：每日清洁二次，循环保洁，做到干净、整洁、光亮、无污渍、无异味；</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（4）洗手台盆及水龙头：用镜布每日清洁二次，循环保洁，做到干净、明亮、无印迹物。</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（5）台盆面板及镜子：用镜布每日清洁、循环保洁，保持台面整洁、卫生用品摆放整齐、无水迹，镜面光亮、印迹、无粘附物。</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（6）地面：每日定时清洁，循环保洁，保持无水迹、无脚印、无卫生死角。</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（7）墙面：每周清洁墙面一次，保持墙面光亮、无印迹。</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2.2.5电</w:t>
      </w:r>
      <w:r>
        <w:rPr>
          <w:rFonts w:hint="eastAsia" w:ascii="宋体" w:hAnsi="宋体" w:cs="Calibri"/>
          <w:szCs w:val="21"/>
          <w:highlight w:val="none"/>
        </w:rPr>
        <w:t>梯间</w:t>
      </w:r>
    </w:p>
    <w:p>
      <w:pPr>
        <w:snapToGrid w:val="0"/>
        <w:spacing w:line="360" w:lineRule="auto"/>
        <w:ind w:firstLine="420" w:firstLineChars="200"/>
        <w:rPr>
          <w:rFonts w:hint="eastAsia" w:ascii="宋体" w:hAnsi="宋体"/>
          <w:szCs w:val="21"/>
          <w:highlight w:val="none"/>
        </w:rPr>
      </w:pPr>
      <w:r>
        <w:rPr>
          <w:rFonts w:hint="eastAsia" w:ascii="宋体" w:hAnsi="宋体" w:cs="Calibri"/>
          <w:szCs w:val="21"/>
          <w:highlight w:val="none"/>
        </w:rPr>
        <w:t>（</w:t>
      </w:r>
      <w:r>
        <w:rPr>
          <w:rFonts w:ascii="宋体" w:hAnsi="宋体" w:cs="Calibri"/>
          <w:szCs w:val="21"/>
          <w:highlight w:val="none"/>
        </w:rPr>
        <w:t>1</w:t>
      </w:r>
      <w:r>
        <w:rPr>
          <w:rFonts w:hint="eastAsia" w:ascii="宋体" w:hAnsi="宋体" w:cs="Calibri"/>
          <w:szCs w:val="21"/>
          <w:highlight w:val="none"/>
        </w:rPr>
        <w:t>）电梯轿厢：保持干净，无污渍、无粘贴物、无异味，每日至少开展</w:t>
      </w:r>
      <w:r>
        <w:rPr>
          <w:rFonts w:ascii="宋体" w:hAnsi="宋体" w:cs="Calibri"/>
          <w:szCs w:val="21"/>
          <w:highlight w:val="none"/>
        </w:rPr>
        <w:t>1</w:t>
      </w:r>
      <w:r>
        <w:rPr>
          <w:rFonts w:hint="eastAsia" w:ascii="宋体" w:hAnsi="宋体" w:cs="Calibri"/>
          <w:szCs w:val="21"/>
          <w:highlight w:val="none"/>
        </w:rPr>
        <w:t>次清洁作业。灯具、操作指示板明亮。</w:t>
      </w:r>
      <w:r>
        <w:rPr>
          <w:rFonts w:hint="eastAsia" w:ascii="宋体" w:hAnsi="宋体" w:cs="宋体"/>
          <w:szCs w:val="21"/>
          <w:highlight w:val="none"/>
        </w:rPr>
        <w:t>定期对轿厢内按键进行清洁和消毒。</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w:t>
      </w:r>
      <w:r>
        <w:rPr>
          <w:rFonts w:hint="eastAsia" w:ascii="宋体" w:hAnsi="宋体" w:cs="Calibri"/>
          <w:szCs w:val="21"/>
          <w:highlight w:val="none"/>
        </w:rPr>
        <w:t>电梯轿厢</w:t>
      </w:r>
      <w:r>
        <w:rPr>
          <w:rFonts w:hint="eastAsia" w:ascii="宋体" w:hAnsi="宋体" w:cs="宋体"/>
          <w:szCs w:val="21"/>
          <w:highlight w:val="none"/>
        </w:rPr>
        <w:t>地面：每日避开使用高峰期清洁地面，循环保洁，做到干净、无印迹、无陈旧性垃圾。轿厢地毯每日更换，每日清洗。</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（3）电梯外门：随时保洁，做到光亮、整洁，无手印、无粘附物。</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（4）电梯门轨道沟槽：每日用刷子、抹布去除沟槽中的杂物、泥沙保持干净。</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2.2.6平台、屋顶、天沟保持干净，有杂物及时清扫，每月至少开展1次清洁作业。</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2.2.7石材地面、内墙做好养护工作，每季度开展1次清洁作业。</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2.2.8地毯干净、无油渍、无污渍、无褪色，每月至少开展1次清洁作业。</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2.3</w:t>
      </w:r>
      <w:r>
        <w:rPr>
          <w:rFonts w:hint="eastAsia" w:ascii="宋体" w:hAnsi="宋体"/>
          <w:szCs w:val="21"/>
          <w:highlight w:val="none"/>
        </w:rPr>
        <w:t>公共场地区域保洁</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2.3.1每日清扫道路地面、停车场等公共区域2次，保持干净、无杂物、无积水。</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2.3.2雨雪冰冻天气的清洁：及时清扫积水、积雪，铲除冰面并采取安全防护措施。雨后对院内主路、干路及门前积水进行清扫。降雪时及时清扫积雪，铲除结冰。夜间降雪的，主要区域的冰雪在次日8:00前清扫干净。做好门前三包。</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2.3.3各种路标、宣传栏等保持干净，每月至少开展1次清洁作业。</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2.3.4清洁室外照明设备，每月至少开展1次清洁作业。</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2.3.5绿地内无杂物、无改变用途和破坏、践踏、占用现象，每日至少开展1次巡查。</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2.3.6办公区外立面定期清洗、2米以上外窗玻璃擦拭，每年至少开展1次清洗。（各类材质外立面服务标准详见“3.具体清洁要求”）</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2.3.7地下车库、地下通道区域：每日清扫车库地面2次，循环保洁，每周清洁车库内标识、道闸、卷帘门、消火栓（箱）等设施，做到干净、无陈旧性垃圾；每月清洁车库顶部管道1次，保持无积尘、无蜘蛛网。</w:t>
      </w:r>
    </w:p>
    <w:p>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2.3.8室外设施、标志：每日清洁、擦抹一次，做到无灰尘、无污渍。</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szCs w:val="21"/>
          <w:highlight w:val="none"/>
        </w:rPr>
        <w:t>2.3.9下水道口：定期清理烟头、树叶等杂物，确保排水口通畅，防止堵塞。每月定期对污水排水沟渠进</w:t>
      </w:r>
      <w:r>
        <w:rPr>
          <w:rFonts w:hint="eastAsia" w:ascii="宋体" w:hAnsi="宋体" w:cs="宋体"/>
          <w:color w:val="auto"/>
          <w:szCs w:val="21"/>
          <w:highlight w:val="none"/>
        </w:rPr>
        <w:t>行消毒。</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2.4垃圾处理：</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2.4.1在指定位置摆放分类垃圾桶，并在显著处张贴垃圾分类标识。分类垃圾桶和垃圾分类标识根据北京市的要求设置</w:t>
      </w:r>
      <w:r>
        <w:rPr>
          <w:rFonts w:ascii="宋体"/>
          <w:color w:val="auto"/>
          <w:szCs w:val="21"/>
          <w:highlight w:val="none"/>
        </w:rPr>
        <w:t>，</w:t>
      </w:r>
      <w:r>
        <w:rPr>
          <w:rFonts w:hint="eastAsia" w:ascii="宋体"/>
          <w:color w:val="auto"/>
          <w:szCs w:val="21"/>
          <w:highlight w:val="none"/>
        </w:rPr>
        <w:t>科学合理确定各类生活垃圾收集容器的数量和位置，分类标志要求颜色、标识正确</w:t>
      </w:r>
      <w:r>
        <w:rPr>
          <w:rFonts w:hint="eastAsia" w:ascii="宋体" w:hAnsi="宋体" w:cs="宋体"/>
          <w:color w:val="auto"/>
          <w:szCs w:val="21"/>
          <w:highlight w:val="none"/>
        </w:rPr>
        <w:t>。</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2.4.2桶身表面干净无污渍，每日开展至少1次清洁作业。定期进行消毒灭菌处理，保持垃圾桶无异味、无粘附物、无污迹、无陈旧性垃圾。</w:t>
      </w:r>
      <w:r>
        <w:rPr>
          <w:rFonts w:hint="eastAsia" w:ascii="宋体"/>
          <w:color w:val="auto"/>
          <w:szCs w:val="21"/>
          <w:highlight w:val="none"/>
        </w:rPr>
        <w:t>加强收集容器日常维护管理，确保无破损、无满冒、无异味。</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2.4.3垃圾中转区保持整洁，无明显异味，每日至少开展1次清洁作业。</w:t>
      </w:r>
    </w:p>
    <w:p>
      <w:pPr>
        <w:snapToGrid w:val="0"/>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2.4.4化粪池清掏消毒：化粪池清掏，无明显异味，每半年至少开展1次清洁作业。定期对化粪池进行检查及时清淘，保持化粪池通畅，严禁化粪池外溢。每半年对化粪池进行消毒。</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2.4.5每个工作日内要对楼层产生的垃圾，进行清理分类，并运至单位内部垃圾集中堆放点。每周对垃圾收集点进行彻底清洁、消毒。</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2.4.6垃圾装袋，日产日清</w:t>
      </w:r>
      <w:r>
        <w:rPr>
          <w:rFonts w:hint="eastAsia" w:ascii="宋体"/>
          <w:color w:val="auto"/>
          <w:szCs w:val="21"/>
          <w:highlight w:val="none"/>
        </w:rPr>
        <w:t>，严禁混收混运</w:t>
      </w:r>
      <w:r>
        <w:rPr>
          <w:rFonts w:hint="eastAsia" w:ascii="宋体" w:hAnsi="宋体" w:cs="宋体"/>
          <w:color w:val="auto"/>
          <w:szCs w:val="21"/>
          <w:highlight w:val="none"/>
        </w:rPr>
        <w:t>。</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2.4.7建立垃圾清运台账，交由规范的渠道回收处理。</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2.4.8做好垃圾分类管理的宣传工作，督促并引导全员参与垃圾分类投放。</w:t>
      </w:r>
      <w:r>
        <w:rPr>
          <w:rFonts w:hint="eastAsia" w:ascii="宋体"/>
          <w:color w:val="auto"/>
          <w:szCs w:val="21"/>
          <w:highlight w:val="none"/>
        </w:rPr>
        <w:t>通过张贴海报、发放宣传手册、组织培训讲座等形式，开展生活垃圾分类宣传活动。</w:t>
      </w:r>
    </w:p>
    <w:p>
      <w:pPr>
        <w:snapToGrid w:val="0"/>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2.4.9垃圾分类投放管理工作的执行标准，按北京市的要求执行。</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2.4.10禁止从楼上抛掷杂物、垃圾、烟蒂、泼洒污水，禁止在窗口、阳台晾晒拖把、抹布；禁止将废料、垃圾、饭渣、布条等投入厕所和下水道造成管道堵塞。</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2.4.11门前三包：对门前三包每日巡查、发现问题及时与相关单位进行沟通协调解决。</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2.5二次水箱清洗消杀：每半年请专业的自来水公司对生活用水水池进行一次清洗、消杀，保持生活用水安全合格。</w:t>
      </w:r>
    </w:p>
    <w:p>
      <w:pPr>
        <w:snapToGrid w:val="0"/>
        <w:spacing w:line="360" w:lineRule="auto"/>
        <w:ind w:firstLine="422" w:firstLineChars="200"/>
        <w:rPr>
          <w:rFonts w:hint="eastAsia" w:ascii="宋体" w:hAnsi="宋体"/>
          <w:b/>
          <w:bCs/>
          <w:color w:val="auto"/>
          <w:szCs w:val="21"/>
          <w:highlight w:val="none"/>
        </w:rPr>
      </w:pPr>
      <w:r>
        <w:rPr>
          <w:rFonts w:hint="eastAsia" w:ascii="宋体" w:hAnsi="宋体" w:cs="宋体"/>
          <w:b/>
          <w:bCs/>
          <w:color w:val="auto"/>
          <w:szCs w:val="21"/>
          <w:highlight w:val="none"/>
        </w:rPr>
        <w:t>2.7</w:t>
      </w:r>
      <w:r>
        <w:rPr>
          <w:rFonts w:hint="eastAsia" w:ascii="宋体" w:hAnsi="宋体"/>
          <w:b/>
          <w:bCs/>
          <w:color w:val="auto"/>
          <w:szCs w:val="21"/>
          <w:highlight w:val="none"/>
        </w:rPr>
        <w:t>卫生消毒</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2.7.1办公用房区域、公共场所区域和周围环境预防性卫生消毒，消毒后及时通风，每周至少开展1次作业。</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2.7.2采取综合措施消灭老鼠、蟑螂，控制室内外蚊虫孳生，达到基本无蝇，每季度至少开展1次作业。</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（1）实施范围：所有建筑、绿地、停车场、设备层等，总防治面积约  平方米。</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u w:val="single"/>
        </w:rPr>
        <w:t xml:space="preserve"> 采购人 </w:t>
      </w:r>
      <w:r>
        <w:rPr>
          <w:rFonts w:hint="eastAsia" w:ascii="宋体" w:hAnsi="宋体" w:cs="宋体"/>
          <w:color w:val="auto"/>
          <w:szCs w:val="21"/>
          <w:highlight w:val="none"/>
        </w:rPr>
        <w:t>负责提供有害生物防治所需要的药品、设备。</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（3）大规模灭蟑每季度一次，全年四次。局部消杀随时进行；</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（4）大规模灭鼠每季度一次，全年四次，局部捕杀随时进行；</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（5）大规模灭蚊蝇每月一次，盛夏季节相应增加；</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（6）营养食堂、职工食堂、大库等重点部门每周1-2次综合作业；</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（7）每季度进行一次有害生物防治质量和施工满意度回访，及时调整作业方案；</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（8）积极进行蜱、螨、蚤、虱、臭虫等有害生物的预防和相关咨询。</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2.7.3发生公共卫生事件时，邀请专业单位开展消毒、检测等工作。</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2.8专业石材养护</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针对装饰石材的材质、养护特性、使用要求，提供专业的石材养护方法，对石材进行专业养护处理，保证石材天然本色及光亮的同时，起到保护石材、防止污染、增强抗磨损的作用，延长石材使用寿命。</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2.9绿地</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无杂物、无改变用途和破坏、践踏、占用现象，每日至少开展1次巡查。</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2.10集中空调通风系统检查</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集中空调通风系统的管理责任人应建立卫生档案、卫生管理制度和应急预案。</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集中空调通风系统运行期间，管理责任人应定期进行检查并做记录，对存在问题及时整改。</w:t>
      </w:r>
    </w:p>
    <w:p>
      <w:pPr>
        <w:snapToGrid w:val="0"/>
        <w:spacing w:line="360" w:lineRule="auto"/>
        <w:ind w:firstLine="422" w:firstLineChars="200"/>
        <w:rPr>
          <w:rFonts w:hint="eastAsia" w:ascii="宋体" w:hAnsi="宋体"/>
          <w:color w:val="auto"/>
          <w:szCs w:val="21"/>
          <w:highlight w:val="none"/>
        </w:rPr>
      </w:pPr>
      <w:r>
        <w:rPr>
          <w:rFonts w:hint="eastAsia" w:ascii="宋体" w:hAnsi="宋体" w:cs="宋体"/>
          <w:b/>
          <w:bCs/>
          <w:color w:val="auto"/>
          <w:szCs w:val="21"/>
          <w:highlight w:val="none"/>
        </w:rPr>
        <w:t>3.具体清洁要求</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3.1环氧地坪地面</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3.1.1清理垃圾：清理地面上的垃圾和杂物。</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3.1.2清洗地面：用专业的清洁剂或去污剂清洗地面。清洁剂和去污剂的选取要根据污垢的性质而定。环氧地坪一般使用弱酸性或弱碱性的清洁剂，避免使用酸性或碱性强的清洁剂。</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3.1.3滚刷或颗粒机进行深层清洗：对于顽固沉积物，需要使用滚刷或颗粒机进行深层清洗。</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3.1.4浸泡：将清洁剂或去污剂浸泡在环氧地坪上，加强去除污渍的效果。</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3.1.5冲洗：用清水将地面冲洗干净，以去除残留的清洁剂或去污剂。</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3.2耐磨漆地面</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3.2.1日常清洁：使用软质拖把或地板清洁机，配合清水和中性清洁剂进行清洁。避免使用酸性或碱性清洁剂，以免损坏地面表面。定期清理地面上的污渍和杂物，保持地面干净整洁。</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3.2.2打蜡：为了增加耐磨地面的光亮度和耐磨性，可以进行打蜡处理。使用适合聚氨酯地面的蜡进行均匀涂抹，待蜡干燥后使用抛光机或拖把清理地面，使其变得光滑而有光泽。</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3.3瓷砖地面</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3.3.1日常清洁：推尘，保持地面干净无杂物。</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3.3.2深度清洁：使用洗洁精或肥皂水清理。</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3.4石材地面</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3.4.1根据各区域的人流量及大理石的实际磨损程度制定大理石的晶面保养计划。</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3.4.2启动晶面机，使用中性清洁剂清洁，避免使用强酸或强碱清洁剂，定期进行基础维护。</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3.5水磨石地面</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3.5.1日常清洁：推尘，保持地面干净无杂物。</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3.5.2深度清洁：使用洗洁精或肥皂水清理。</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3.6地胶板地面</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3.6.1定期保养。使用中性清洁剂清洁，避免使用强酸或强碱清洁剂，定期进行基础维护。</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3.6.2日常维护。使用湿润的拖把清洁，污染严重时局部清洁，每月对地胶板地面进行打蜡处理。</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3.7地板地面</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3.7.1定期保养。使用中性清洁剂清洁，避免使用强酸或强碱清洁剂，定期进行基础维护。</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3.7.2日常维护。使用湿润的拖把清洁，污染严重时局部清洁，每月对地板进行打蜡处理。</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3.8地毯地面</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3.8.1日常用吸尘机除尘，局部脏污用湿布配中性清洁液重点清洁。</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3.8.2用地毯清洗机进行整体清洗，除螨。</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3.9乳胶漆内墙</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有污渍时用半干布擦拭。</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3.10墙纸内墙</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有污渍时用半干布擦拭。</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3.11木饰面内墙</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有污渍时用中性清洁剂、半干布擦拭。</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3.12石材内墙</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有污渍时用半干布擦拭。</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3.13金属板内墙</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有污渍时用半干布擦拭。</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3.14涂料外墙</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定期专业清洗。</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3.15真石漆外墙</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定期专业清洗。</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3.16瓷砖外墙</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定期专业清洗。</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3.17保温一体板外墙</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定期专业清洗。</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3.18铝板外墙</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定期专业清洗。</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3.19干挂石材外墙</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定期专业清洗。</w:t>
      </w:r>
    </w:p>
    <w:p>
      <w:pPr>
        <w:pStyle w:val="7"/>
        <w:adjustRightInd w:val="0"/>
        <w:snapToGrid w:val="0"/>
        <w:spacing w:line="360" w:lineRule="auto"/>
        <w:ind w:firstLine="422" w:firstLineChars="200"/>
        <w:rPr>
          <w:rFonts w:hAnsi="宋体" w:cs="宋体"/>
          <w:b/>
          <w:color w:val="auto"/>
          <w:szCs w:val="21"/>
          <w:highlight w:val="none"/>
        </w:rPr>
      </w:pPr>
      <w:r>
        <w:rPr>
          <w:rFonts w:hAnsi="宋体" w:cs="宋体"/>
          <w:b/>
          <w:color w:val="auto"/>
          <w:szCs w:val="21"/>
          <w:highlight w:val="none"/>
        </w:rPr>
        <w:t>（五）绿化养护管理服务</w:t>
      </w:r>
    </w:p>
    <w:p>
      <w:pPr>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1.服务内容</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主要指室外绿化养护，如办公楼（区）树木、花草、绿地等的日常养护和管理，办公楼（区）“门前”规定区域绿地的养护管理等。</w:t>
      </w:r>
    </w:p>
    <w:p>
      <w:pPr>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color w:val="auto"/>
          <w:szCs w:val="21"/>
          <w:highlight w:val="none"/>
        </w:rPr>
        <w:t>2.</w:t>
      </w:r>
      <w:r>
        <w:rPr>
          <w:rFonts w:hint="eastAsia" w:ascii="宋体" w:hAnsi="宋体" w:cs="宋体"/>
          <w:b/>
          <w:bCs/>
          <w:color w:val="auto"/>
          <w:szCs w:val="21"/>
          <w:highlight w:val="none"/>
        </w:rPr>
        <w:t>服务标准</w:t>
      </w:r>
    </w:p>
    <w:p>
      <w:pPr>
        <w:pStyle w:val="8"/>
        <w:snapToGrid w:val="0"/>
        <w:spacing w:before="0" w:beforeAutospacing="0" w:after="0" w:afterAutospacing="0" w:line="360" w:lineRule="auto"/>
        <w:ind w:firstLine="420" w:firstLineChars="200"/>
        <w:rPr>
          <w:rFonts w:hint="eastAsia"/>
          <w:color w:val="auto"/>
          <w:sz w:val="21"/>
          <w:szCs w:val="21"/>
          <w:highlight w:val="none"/>
        </w:rPr>
      </w:pPr>
      <w:r>
        <w:rPr>
          <w:rFonts w:hint="eastAsia"/>
          <w:color w:val="auto"/>
          <w:sz w:val="21"/>
          <w:szCs w:val="21"/>
          <w:highlight w:val="none"/>
        </w:rPr>
        <w:t>2.1基本要求</w:t>
      </w:r>
    </w:p>
    <w:p>
      <w:pPr>
        <w:pStyle w:val="8"/>
        <w:snapToGrid w:val="0"/>
        <w:spacing w:before="0" w:beforeAutospacing="0" w:after="0" w:afterAutospacing="0" w:line="360" w:lineRule="auto"/>
        <w:ind w:firstLine="420" w:firstLineChars="200"/>
        <w:rPr>
          <w:rFonts w:hint="eastAsia"/>
          <w:color w:val="auto"/>
          <w:kern w:val="2"/>
          <w:sz w:val="21"/>
          <w:szCs w:val="21"/>
          <w:highlight w:val="none"/>
        </w:rPr>
      </w:pPr>
      <w:r>
        <w:rPr>
          <w:rFonts w:hint="eastAsia"/>
          <w:color w:val="auto"/>
          <w:kern w:val="2"/>
          <w:sz w:val="21"/>
          <w:szCs w:val="21"/>
          <w:highlight w:val="none"/>
        </w:rPr>
        <w:t>2.1.1制定绿化服务的工作制度及工作计划，并按照执行。</w:t>
      </w:r>
    </w:p>
    <w:p>
      <w:pPr>
        <w:pStyle w:val="8"/>
        <w:snapToGrid w:val="0"/>
        <w:spacing w:before="0" w:beforeAutospacing="0" w:after="0" w:afterAutospacing="0" w:line="360" w:lineRule="auto"/>
        <w:ind w:firstLine="420" w:firstLineChars="200"/>
        <w:rPr>
          <w:rFonts w:hint="eastAsia"/>
          <w:color w:val="auto"/>
          <w:kern w:val="2"/>
          <w:sz w:val="21"/>
          <w:szCs w:val="21"/>
          <w:highlight w:val="none"/>
        </w:rPr>
      </w:pPr>
      <w:r>
        <w:rPr>
          <w:rFonts w:hint="eastAsia"/>
          <w:color w:val="auto"/>
          <w:kern w:val="2"/>
          <w:sz w:val="21"/>
          <w:szCs w:val="21"/>
          <w:highlight w:val="none"/>
        </w:rPr>
        <w:t>2.1.2做好绿化服务工作记录，填写规范。</w:t>
      </w:r>
    </w:p>
    <w:p>
      <w:pPr>
        <w:pStyle w:val="8"/>
        <w:snapToGrid w:val="0"/>
        <w:spacing w:before="0" w:beforeAutospacing="0" w:after="0" w:afterAutospacing="0" w:line="360" w:lineRule="auto"/>
        <w:ind w:firstLine="420" w:firstLineChars="200"/>
        <w:rPr>
          <w:rFonts w:hint="eastAsia"/>
          <w:color w:val="auto"/>
          <w:kern w:val="2"/>
          <w:sz w:val="21"/>
          <w:szCs w:val="21"/>
          <w:highlight w:val="none"/>
        </w:rPr>
      </w:pPr>
      <w:r>
        <w:rPr>
          <w:rFonts w:hint="eastAsia"/>
          <w:color w:val="auto"/>
          <w:kern w:val="2"/>
          <w:sz w:val="21"/>
          <w:szCs w:val="21"/>
          <w:highlight w:val="none"/>
        </w:rPr>
        <w:t>2.1.3作业时采取安全防护措施，防止对作业人员或他人造成伤害。</w:t>
      </w:r>
    </w:p>
    <w:p>
      <w:pPr>
        <w:pStyle w:val="8"/>
        <w:snapToGrid w:val="0"/>
        <w:spacing w:before="0" w:beforeAutospacing="0" w:after="0" w:afterAutospacing="0" w:line="360" w:lineRule="auto"/>
        <w:ind w:firstLine="420" w:firstLineChars="200"/>
        <w:rPr>
          <w:rFonts w:hint="eastAsia"/>
          <w:color w:val="auto"/>
          <w:kern w:val="2"/>
          <w:sz w:val="21"/>
          <w:szCs w:val="21"/>
          <w:highlight w:val="none"/>
        </w:rPr>
      </w:pPr>
      <w:r>
        <w:rPr>
          <w:rFonts w:hint="eastAsia"/>
          <w:color w:val="auto"/>
          <w:kern w:val="2"/>
          <w:sz w:val="21"/>
          <w:szCs w:val="21"/>
          <w:highlight w:val="none"/>
        </w:rPr>
        <w:t>2.1.4相关耗材的环保、安全性应当符合规定要求</w:t>
      </w:r>
      <w:bookmarkStart w:id="1" w:name="_Hlk218506390"/>
      <w:r>
        <w:rPr>
          <w:rFonts w:hint="eastAsia"/>
          <w:color w:val="auto"/>
          <w:sz w:val="21"/>
          <w:szCs w:val="21"/>
          <w:highlight w:val="none"/>
        </w:rPr>
        <w:t>，选用符合环保标准的材料</w:t>
      </w:r>
      <w:bookmarkEnd w:id="1"/>
      <w:r>
        <w:rPr>
          <w:rFonts w:hint="eastAsia"/>
          <w:color w:val="auto"/>
          <w:sz w:val="21"/>
          <w:szCs w:val="21"/>
          <w:highlight w:val="none"/>
        </w:rPr>
        <w:t>。</w:t>
      </w:r>
    </w:p>
    <w:p>
      <w:pPr>
        <w:pStyle w:val="8"/>
        <w:snapToGrid w:val="0"/>
        <w:spacing w:before="0" w:beforeAutospacing="0" w:after="0" w:afterAutospacing="0" w:line="360" w:lineRule="auto"/>
        <w:ind w:firstLine="420" w:firstLineChars="200"/>
        <w:rPr>
          <w:rFonts w:hint="eastAsia"/>
          <w:color w:val="auto"/>
          <w:kern w:val="2"/>
          <w:sz w:val="21"/>
          <w:szCs w:val="21"/>
          <w:highlight w:val="none"/>
        </w:rPr>
      </w:pPr>
      <w:r>
        <w:rPr>
          <w:rFonts w:hint="eastAsia"/>
          <w:color w:val="auto"/>
          <w:sz w:val="21"/>
          <w:szCs w:val="21"/>
          <w:highlight w:val="none"/>
        </w:rPr>
        <w:t>2.</w:t>
      </w:r>
      <w:r>
        <w:rPr>
          <w:rFonts w:hint="eastAsia"/>
          <w:color w:val="auto"/>
          <w:kern w:val="2"/>
          <w:sz w:val="21"/>
          <w:szCs w:val="21"/>
          <w:highlight w:val="none"/>
        </w:rPr>
        <w:t>2室外绿化养护服务标准</w:t>
      </w:r>
    </w:p>
    <w:p>
      <w:pPr>
        <w:pStyle w:val="8"/>
        <w:snapToGrid w:val="0"/>
        <w:spacing w:before="0" w:beforeAutospacing="0" w:after="0" w:afterAutospacing="0" w:line="360" w:lineRule="auto"/>
        <w:ind w:firstLine="420" w:firstLineChars="200"/>
        <w:rPr>
          <w:rFonts w:hint="eastAsia"/>
          <w:color w:val="auto"/>
          <w:kern w:val="2"/>
          <w:sz w:val="21"/>
          <w:szCs w:val="21"/>
          <w:highlight w:val="none"/>
        </w:rPr>
      </w:pPr>
      <w:r>
        <w:rPr>
          <w:rFonts w:hint="eastAsia"/>
          <w:color w:val="auto"/>
          <w:kern w:val="2"/>
          <w:sz w:val="21"/>
          <w:szCs w:val="21"/>
          <w:highlight w:val="none"/>
        </w:rPr>
        <w:t>2.2.1根据生长环境、植物特性进行除草、灌溉、施肥、整形修剪、防治病虫害等。</w:t>
      </w:r>
    </w:p>
    <w:p>
      <w:pPr>
        <w:pStyle w:val="8"/>
        <w:snapToGrid w:val="0"/>
        <w:spacing w:before="0" w:beforeAutospacing="0" w:after="0" w:afterAutospacing="0" w:line="360" w:lineRule="auto"/>
        <w:ind w:firstLine="420" w:firstLineChars="200"/>
        <w:rPr>
          <w:rFonts w:hint="eastAsia"/>
          <w:color w:val="auto"/>
          <w:kern w:val="2"/>
          <w:sz w:val="21"/>
          <w:szCs w:val="21"/>
          <w:highlight w:val="none"/>
        </w:rPr>
      </w:pPr>
      <w:r>
        <w:rPr>
          <w:rFonts w:hint="eastAsia"/>
          <w:color w:val="auto"/>
          <w:kern w:val="2"/>
          <w:sz w:val="21"/>
          <w:szCs w:val="21"/>
          <w:highlight w:val="none"/>
        </w:rPr>
        <w:t>2.2.2根据生长情况修剪绿地，绿地内无枯草、无杂物，无干枯坏死和病虫侵害，基本无裸露土地。草坪修剪应高度一致、边缘整齐。</w:t>
      </w:r>
    </w:p>
    <w:p>
      <w:pPr>
        <w:pStyle w:val="8"/>
        <w:snapToGrid w:val="0"/>
        <w:spacing w:before="0" w:beforeAutospacing="0" w:after="0" w:afterAutospacing="0" w:line="360" w:lineRule="auto"/>
        <w:ind w:firstLine="420" w:firstLineChars="200"/>
        <w:rPr>
          <w:rFonts w:hint="eastAsia"/>
          <w:color w:val="auto"/>
          <w:kern w:val="2"/>
          <w:sz w:val="21"/>
          <w:szCs w:val="21"/>
          <w:highlight w:val="none"/>
        </w:rPr>
      </w:pPr>
      <w:r>
        <w:rPr>
          <w:rFonts w:hint="eastAsia"/>
          <w:color w:val="auto"/>
          <w:kern w:val="2"/>
          <w:sz w:val="21"/>
          <w:szCs w:val="21"/>
          <w:highlight w:val="none"/>
        </w:rPr>
        <w:t>2.2.3定期修剪树木、花卉等，灌乔木生长正常、造型美观自然、花枝新鲜，无枯叶、无病虫、无死树缺株。</w:t>
      </w:r>
    </w:p>
    <w:p>
      <w:pPr>
        <w:pStyle w:val="8"/>
        <w:snapToGrid w:val="0"/>
        <w:spacing w:before="0" w:beforeAutospacing="0" w:after="0" w:afterAutospacing="0" w:line="360" w:lineRule="auto"/>
        <w:ind w:firstLine="420" w:firstLineChars="200"/>
        <w:rPr>
          <w:rFonts w:hint="eastAsia"/>
          <w:color w:val="auto"/>
          <w:kern w:val="2"/>
          <w:sz w:val="21"/>
          <w:szCs w:val="21"/>
          <w:highlight w:val="none"/>
        </w:rPr>
      </w:pPr>
      <w:r>
        <w:rPr>
          <w:rFonts w:hint="eastAsia"/>
          <w:color w:val="auto"/>
          <w:kern w:val="2"/>
          <w:sz w:val="21"/>
          <w:szCs w:val="21"/>
          <w:highlight w:val="none"/>
        </w:rPr>
        <w:t>2.2.4绿篱生长造型正常，颜色正常，修剪及时，基本无死株和干死株，有虫株率在10%以下。</w:t>
      </w:r>
    </w:p>
    <w:p>
      <w:pPr>
        <w:pStyle w:val="8"/>
        <w:snapToGrid w:val="0"/>
        <w:spacing w:before="0" w:beforeAutospacing="0" w:after="0" w:afterAutospacing="0" w:line="360" w:lineRule="auto"/>
        <w:ind w:firstLine="420" w:firstLineChars="200"/>
        <w:rPr>
          <w:rFonts w:hint="eastAsia"/>
          <w:color w:val="auto"/>
          <w:kern w:val="2"/>
          <w:sz w:val="21"/>
          <w:szCs w:val="21"/>
          <w:highlight w:val="none"/>
        </w:rPr>
      </w:pPr>
      <w:r>
        <w:rPr>
          <w:rFonts w:hint="eastAsia"/>
          <w:color w:val="auto"/>
          <w:kern w:val="2"/>
          <w:sz w:val="21"/>
          <w:szCs w:val="21"/>
          <w:highlight w:val="none"/>
        </w:rPr>
        <w:t>2.2.5清除花坛和花景的花蒂、黄叶、杂草、垃圾，做好病虫害防治。</w:t>
      </w:r>
    </w:p>
    <w:p>
      <w:pPr>
        <w:pStyle w:val="8"/>
        <w:snapToGrid w:val="0"/>
        <w:spacing w:before="0" w:beforeAutospacing="0" w:after="0" w:afterAutospacing="0" w:line="360" w:lineRule="auto"/>
        <w:ind w:firstLine="420" w:firstLineChars="200"/>
        <w:rPr>
          <w:rFonts w:hint="eastAsia"/>
          <w:color w:val="auto"/>
          <w:kern w:val="2"/>
          <w:sz w:val="21"/>
          <w:szCs w:val="21"/>
          <w:highlight w:val="none"/>
        </w:rPr>
      </w:pPr>
      <w:r>
        <w:rPr>
          <w:rFonts w:hint="eastAsia"/>
          <w:color w:val="auto"/>
          <w:kern w:val="2"/>
          <w:sz w:val="21"/>
          <w:szCs w:val="21"/>
          <w:highlight w:val="none"/>
        </w:rPr>
        <w:t>2.2.6水池水面定期清理，无枯枝落叶、水质清洁。及时清除杂物，定期消杀水池，控制好水深，管好水闸开关，不浪费水。</w:t>
      </w:r>
    </w:p>
    <w:p>
      <w:pPr>
        <w:pStyle w:val="8"/>
        <w:snapToGrid w:val="0"/>
        <w:spacing w:before="0" w:beforeAutospacing="0" w:after="0" w:afterAutospacing="0" w:line="360" w:lineRule="auto"/>
        <w:ind w:firstLine="420" w:firstLineChars="200"/>
        <w:rPr>
          <w:rFonts w:hint="eastAsia"/>
          <w:color w:val="auto"/>
          <w:kern w:val="2"/>
          <w:sz w:val="21"/>
          <w:szCs w:val="21"/>
          <w:highlight w:val="none"/>
        </w:rPr>
      </w:pPr>
      <w:r>
        <w:rPr>
          <w:rFonts w:hint="eastAsia"/>
          <w:color w:val="auto"/>
          <w:kern w:val="2"/>
          <w:sz w:val="21"/>
          <w:szCs w:val="21"/>
          <w:highlight w:val="none"/>
        </w:rPr>
        <w:t>2.2.7根据病虫害发生规律实施综合治理，通常在病虫率高时，以药剂杀死病虫，以确保植物良好生长。产生垃圾的主要区域和路段做到日产日清。</w:t>
      </w:r>
    </w:p>
    <w:p>
      <w:pPr>
        <w:pStyle w:val="8"/>
        <w:snapToGrid w:val="0"/>
        <w:spacing w:before="0" w:beforeAutospacing="0" w:after="0" w:afterAutospacing="0" w:line="360" w:lineRule="auto"/>
        <w:ind w:firstLine="420" w:firstLineChars="200"/>
        <w:rPr>
          <w:rFonts w:hint="eastAsia"/>
          <w:color w:val="auto"/>
          <w:kern w:val="2"/>
          <w:sz w:val="21"/>
          <w:szCs w:val="21"/>
          <w:highlight w:val="none"/>
        </w:rPr>
      </w:pPr>
      <w:r>
        <w:rPr>
          <w:rFonts w:hint="eastAsia"/>
          <w:color w:val="auto"/>
          <w:kern w:val="2"/>
          <w:sz w:val="21"/>
          <w:szCs w:val="21"/>
          <w:highlight w:val="none"/>
        </w:rPr>
        <w:t>2.2.8雨雪、冰冻等恶劣天气来临前，专人巡查，对绿植做好预防措施，排除安全隐患。使用密度为80%的双幅遮阳网，并配合脚手架、竹子、草席、草绳、树干涂白工作进行。</w:t>
      </w:r>
    </w:p>
    <w:p>
      <w:pPr>
        <w:pStyle w:val="8"/>
        <w:snapToGrid w:val="0"/>
        <w:spacing w:before="0" w:beforeAutospacing="0" w:after="0" w:afterAutospacing="0" w:line="360" w:lineRule="auto"/>
        <w:ind w:firstLine="420" w:firstLineChars="200"/>
        <w:rPr>
          <w:rFonts w:hint="eastAsia"/>
          <w:color w:val="auto"/>
          <w:kern w:val="2"/>
          <w:sz w:val="21"/>
          <w:szCs w:val="21"/>
          <w:highlight w:val="none"/>
        </w:rPr>
      </w:pPr>
      <w:r>
        <w:rPr>
          <w:rFonts w:hint="eastAsia"/>
          <w:color w:val="auto"/>
          <w:kern w:val="2"/>
          <w:sz w:val="21"/>
          <w:szCs w:val="21"/>
          <w:highlight w:val="none"/>
        </w:rPr>
        <w:t>2.2.9恶劣天气后，及时清除倒树断枝，疏通道路，尽快恢复原状。</w:t>
      </w:r>
    </w:p>
    <w:p>
      <w:pPr>
        <w:pStyle w:val="8"/>
        <w:snapToGrid w:val="0"/>
        <w:spacing w:before="0" w:beforeAutospacing="0" w:after="0" w:afterAutospacing="0" w:line="360" w:lineRule="auto"/>
        <w:ind w:firstLine="420" w:firstLineChars="200"/>
        <w:rPr>
          <w:rFonts w:hint="eastAsia"/>
          <w:color w:val="auto"/>
          <w:kern w:val="2"/>
          <w:sz w:val="21"/>
          <w:szCs w:val="21"/>
          <w:highlight w:val="none"/>
        </w:rPr>
      </w:pPr>
      <w:r>
        <w:rPr>
          <w:rFonts w:hint="eastAsia"/>
          <w:color w:val="auto"/>
          <w:kern w:val="2"/>
          <w:sz w:val="21"/>
          <w:szCs w:val="21"/>
          <w:highlight w:val="none"/>
        </w:rPr>
        <w:t>2.2.10养护要求：植物生长旺盛，呈勃勃生机，在覆盖度、无杂草率、生长势等指标上，绿化完好率达到≥95%。</w:t>
      </w:r>
    </w:p>
    <w:p>
      <w:pPr>
        <w:pStyle w:val="8"/>
        <w:snapToGrid w:val="0"/>
        <w:spacing w:before="0" w:beforeAutospacing="0" w:after="0" w:afterAutospacing="0" w:line="360" w:lineRule="auto"/>
        <w:ind w:firstLine="420" w:firstLineChars="200"/>
        <w:rPr>
          <w:rFonts w:hint="eastAsia"/>
          <w:color w:val="auto"/>
          <w:kern w:val="2"/>
          <w:sz w:val="21"/>
          <w:szCs w:val="21"/>
          <w:highlight w:val="none"/>
        </w:rPr>
      </w:pPr>
      <w:r>
        <w:rPr>
          <w:rFonts w:hint="eastAsia"/>
          <w:color w:val="auto"/>
          <w:kern w:val="2"/>
          <w:sz w:val="21"/>
          <w:szCs w:val="21"/>
          <w:highlight w:val="none"/>
        </w:rPr>
        <w:t>2.2.11补植、改植：对被损坏或其他原因死亡的植物应及时补植，补植要与原品种一致，规格、数量基本相同；对已呈老化或明显与周围环境不协调的植物应改植，改植要严格按照种植规范进行。</w:t>
      </w:r>
    </w:p>
    <w:p>
      <w:pPr>
        <w:pStyle w:val="8"/>
        <w:snapToGrid w:val="0"/>
        <w:spacing w:before="0" w:beforeAutospacing="0" w:after="0" w:afterAutospacing="0" w:line="360" w:lineRule="auto"/>
        <w:ind w:firstLine="420" w:firstLineChars="200"/>
        <w:rPr>
          <w:rFonts w:hint="eastAsia"/>
          <w:color w:val="auto"/>
          <w:kern w:val="2"/>
          <w:sz w:val="21"/>
          <w:szCs w:val="21"/>
          <w:highlight w:val="none"/>
        </w:rPr>
      </w:pPr>
      <w:r>
        <w:rPr>
          <w:rFonts w:hint="eastAsia"/>
          <w:color w:val="auto"/>
          <w:kern w:val="2"/>
          <w:sz w:val="21"/>
          <w:szCs w:val="21"/>
          <w:highlight w:val="none"/>
        </w:rPr>
        <w:t>2.2.12保持路面及绿地无垃圾杂物，有垃圾杂物10分钟内捡拾干净。做到即产即清，囤放不过夜，不焚烧。</w:t>
      </w:r>
    </w:p>
    <w:p>
      <w:pPr>
        <w:pStyle w:val="8"/>
        <w:snapToGrid w:val="0"/>
        <w:spacing w:before="0" w:beforeAutospacing="0" w:after="0" w:afterAutospacing="0" w:line="360" w:lineRule="auto"/>
        <w:ind w:firstLine="420" w:firstLineChars="200"/>
        <w:rPr>
          <w:rFonts w:hint="eastAsia"/>
          <w:color w:val="auto"/>
          <w:kern w:val="2"/>
          <w:sz w:val="21"/>
          <w:szCs w:val="21"/>
          <w:highlight w:val="none"/>
        </w:rPr>
      </w:pPr>
      <w:r>
        <w:rPr>
          <w:rFonts w:hint="eastAsia"/>
          <w:color w:val="auto"/>
          <w:kern w:val="2"/>
          <w:sz w:val="21"/>
          <w:szCs w:val="21"/>
          <w:highlight w:val="none"/>
        </w:rPr>
        <w:t>2.2.13设施维护：绿地、水池的给排水设施，日常维护要做到完好无损，以保障绿化供水和排涝使用，防止水被人为滥用。</w:t>
      </w:r>
    </w:p>
    <w:p>
      <w:pPr>
        <w:pStyle w:val="8"/>
        <w:snapToGrid w:val="0"/>
        <w:spacing w:before="0" w:beforeAutospacing="0" w:after="0" w:afterAutospacing="0" w:line="360" w:lineRule="auto"/>
        <w:ind w:firstLine="420" w:firstLineChars="200"/>
        <w:rPr>
          <w:rFonts w:hint="eastAsia"/>
          <w:color w:val="auto"/>
          <w:kern w:val="2"/>
          <w:sz w:val="21"/>
          <w:szCs w:val="21"/>
          <w:highlight w:val="none"/>
        </w:rPr>
      </w:pPr>
      <w:r>
        <w:rPr>
          <w:rFonts w:hint="eastAsia"/>
          <w:color w:val="auto"/>
          <w:kern w:val="2"/>
          <w:sz w:val="21"/>
          <w:szCs w:val="21"/>
          <w:highlight w:val="none"/>
        </w:rPr>
        <w:t>2.2.14其它：做好绿化档案管理及其他相关事项。</w:t>
      </w:r>
    </w:p>
    <w:p>
      <w:pPr>
        <w:pStyle w:val="8"/>
        <w:snapToGrid w:val="0"/>
        <w:spacing w:before="0" w:beforeAutospacing="0" w:after="0" w:afterAutospacing="0" w:line="360" w:lineRule="auto"/>
        <w:ind w:firstLine="420" w:firstLineChars="200"/>
        <w:rPr>
          <w:rFonts w:hint="eastAsia"/>
          <w:color w:val="auto"/>
          <w:kern w:val="2"/>
          <w:sz w:val="21"/>
          <w:szCs w:val="21"/>
          <w:highlight w:val="none"/>
        </w:rPr>
      </w:pPr>
      <w:r>
        <w:rPr>
          <w:rFonts w:hint="eastAsia"/>
          <w:color w:val="auto"/>
          <w:kern w:val="2"/>
          <w:sz w:val="21"/>
          <w:szCs w:val="21"/>
          <w:highlight w:val="none"/>
        </w:rPr>
        <w:t>2.3室内植物摆放服务标准</w:t>
      </w:r>
    </w:p>
    <w:p>
      <w:pPr>
        <w:pStyle w:val="8"/>
        <w:snapToGrid w:val="0"/>
        <w:spacing w:before="0" w:beforeAutospacing="0" w:after="0" w:afterAutospacing="0" w:line="360" w:lineRule="auto"/>
        <w:ind w:firstLine="420" w:firstLineChars="200"/>
        <w:rPr>
          <w:rFonts w:hint="eastAsia"/>
          <w:color w:val="auto"/>
          <w:kern w:val="2"/>
          <w:sz w:val="21"/>
          <w:szCs w:val="21"/>
          <w:highlight w:val="none"/>
        </w:rPr>
      </w:pPr>
      <w:r>
        <w:rPr>
          <w:rFonts w:hint="eastAsia"/>
          <w:color w:val="auto"/>
          <w:kern w:val="2"/>
          <w:sz w:val="21"/>
          <w:szCs w:val="21"/>
          <w:highlight w:val="none"/>
        </w:rPr>
        <w:t>2.3.1严格做好养护服务，确保植物无枯枝、残枝、黄叶。对叶尖有少许枯黄的叶片，要合理修剪，保持树形美观自然。</w:t>
      </w:r>
    </w:p>
    <w:p>
      <w:pPr>
        <w:pStyle w:val="8"/>
        <w:snapToGrid w:val="0"/>
        <w:spacing w:before="0" w:beforeAutospacing="0" w:after="0" w:afterAutospacing="0" w:line="360" w:lineRule="auto"/>
        <w:ind w:firstLine="420" w:firstLineChars="200"/>
        <w:rPr>
          <w:rFonts w:hint="eastAsia"/>
          <w:color w:val="auto"/>
          <w:kern w:val="2"/>
          <w:sz w:val="21"/>
          <w:szCs w:val="21"/>
          <w:highlight w:val="none"/>
        </w:rPr>
      </w:pPr>
      <w:r>
        <w:rPr>
          <w:rFonts w:hint="eastAsia"/>
          <w:color w:val="auto"/>
          <w:kern w:val="2"/>
          <w:sz w:val="21"/>
          <w:szCs w:val="21"/>
          <w:highlight w:val="none"/>
        </w:rPr>
        <w:t>2.3.2在养护工作上按照科学的植物水肥需要保证盆花干湿合理，不过量浇水施肥，又不缺水少肥，施用的肥料应无异味、无毒、无刺激性气味，保证摆放环境清新自然。</w:t>
      </w:r>
    </w:p>
    <w:p>
      <w:pPr>
        <w:pStyle w:val="8"/>
        <w:snapToGrid w:val="0"/>
        <w:spacing w:before="0" w:beforeAutospacing="0" w:after="0" w:afterAutospacing="0" w:line="360" w:lineRule="auto"/>
        <w:ind w:firstLine="420" w:firstLineChars="200"/>
        <w:rPr>
          <w:rFonts w:hint="eastAsia"/>
          <w:color w:val="auto"/>
          <w:kern w:val="2"/>
          <w:sz w:val="21"/>
          <w:szCs w:val="21"/>
          <w:highlight w:val="none"/>
        </w:rPr>
      </w:pPr>
      <w:r>
        <w:rPr>
          <w:rFonts w:hint="eastAsia"/>
          <w:color w:val="auto"/>
          <w:kern w:val="2"/>
          <w:sz w:val="21"/>
          <w:szCs w:val="21"/>
          <w:highlight w:val="none"/>
        </w:rPr>
        <w:t>2.3.3保持盆花的花盆、器皿干净整洁，无污水、泥垢及污渍。花盆内无杂物、垃圾，对损坏残缺的花盆套缸及时更换。每次养护完毕，清理现场保持清洁。</w:t>
      </w:r>
    </w:p>
    <w:p>
      <w:pPr>
        <w:pStyle w:val="8"/>
        <w:snapToGrid w:val="0"/>
        <w:spacing w:before="0" w:beforeAutospacing="0" w:after="0" w:afterAutospacing="0" w:line="360" w:lineRule="auto"/>
        <w:ind w:firstLine="420" w:firstLineChars="200"/>
        <w:rPr>
          <w:rFonts w:hint="eastAsia"/>
          <w:color w:val="auto"/>
          <w:kern w:val="2"/>
          <w:sz w:val="21"/>
          <w:szCs w:val="21"/>
          <w:highlight w:val="none"/>
        </w:rPr>
      </w:pPr>
      <w:r>
        <w:rPr>
          <w:rFonts w:hint="eastAsia"/>
          <w:color w:val="auto"/>
          <w:kern w:val="2"/>
          <w:sz w:val="21"/>
          <w:szCs w:val="21"/>
          <w:highlight w:val="none"/>
        </w:rPr>
        <w:t>2.3.4对长势不良的盆花应建议采购人及时进行更换。</w:t>
      </w:r>
    </w:p>
    <w:p>
      <w:pPr>
        <w:pStyle w:val="8"/>
        <w:snapToGrid w:val="0"/>
        <w:spacing w:before="0" w:beforeAutospacing="0" w:after="0" w:afterAutospacing="0" w:line="360" w:lineRule="auto"/>
        <w:ind w:firstLine="420" w:firstLineChars="200"/>
        <w:rPr>
          <w:rFonts w:hint="eastAsia"/>
          <w:color w:val="auto"/>
          <w:kern w:val="2"/>
          <w:sz w:val="21"/>
          <w:szCs w:val="21"/>
          <w:highlight w:val="none"/>
        </w:rPr>
      </w:pPr>
      <w:r>
        <w:rPr>
          <w:rFonts w:hint="eastAsia"/>
          <w:color w:val="auto"/>
          <w:kern w:val="2"/>
          <w:sz w:val="21"/>
          <w:szCs w:val="21"/>
          <w:highlight w:val="none"/>
        </w:rPr>
        <w:t>2.3.5室内植物的摆放在接到采购人通知后选择下班时间或休息日时间进行摆放，不得影响办公区域的正常办公。特殊情况经采购人同意后除外。</w:t>
      </w:r>
    </w:p>
    <w:p>
      <w:pPr>
        <w:pStyle w:val="8"/>
        <w:snapToGrid w:val="0"/>
        <w:spacing w:before="0" w:beforeAutospacing="0" w:after="0" w:afterAutospacing="0" w:line="360" w:lineRule="auto"/>
        <w:ind w:firstLine="420" w:firstLineChars="200"/>
        <w:rPr>
          <w:rFonts w:hint="eastAsia"/>
          <w:color w:val="auto"/>
          <w:kern w:val="2"/>
          <w:sz w:val="21"/>
          <w:szCs w:val="21"/>
          <w:highlight w:val="none"/>
        </w:rPr>
      </w:pPr>
      <w:r>
        <w:rPr>
          <w:rFonts w:hint="eastAsia"/>
          <w:color w:val="auto"/>
          <w:kern w:val="2"/>
          <w:sz w:val="21"/>
          <w:szCs w:val="21"/>
          <w:highlight w:val="none"/>
        </w:rPr>
        <w:t>2.3.6</w:t>
      </w:r>
      <w:r>
        <w:rPr>
          <w:rFonts w:hint="eastAsia"/>
          <w:color w:val="auto"/>
          <w:sz w:val="21"/>
          <w:szCs w:val="21"/>
          <w:highlight w:val="none"/>
        </w:rPr>
        <w:t>投标人</w:t>
      </w:r>
      <w:r>
        <w:rPr>
          <w:rFonts w:hint="eastAsia"/>
          <w:color w:val="auto"/>
          <w:kern w:val="2"/>
          <w:sz w:val="21"/>
          <w:szCs w:val="21"/>
          <w:highlight w:val="none"/>
        </w:rPr>
        <w:t>须按国家规范及标准，提供长期警示牌和临时警示牌，如果考虑不周、摆放不当造成安全事故的，由</w:t>
      </w:r>
      <w:r>
        <w:rPr>
          <w:rFonts w:hint="eastAsia"/>
          <w:color w:val="auto"/>
          <w:sz w:val="21"/>
          <w:szCs w:val="21"/>
          <w:highlight w:val="none"/>
        </w:rPr>
        <w:t>投标人</w:t>
      </w:r>
      <w:r>
        <w:rPr>
          <w:rFonts w:hint="eastAsia"/>
          <w:color w:val="auto"/>
          <w:kern w:val="2"/>
          <w:sz w:val="21"/>
          <w:szCs w:val="21"/>
          <w:highlight w:val="none"/>
        </w:rPr>
        <w:t>负责。</w:t>
      </w:r>
    </w:p>
    <w:p>
      <w:pPr>
        <w:pStyle w:val="7"/>
        <w:adjustRightInd w:val="0"/>
        <w:snapToGrid w:val="0"/>
        <w:spacing w:line="360" w:lineRule="auto"/>
        <w:ind w:firstLine="422" w:firstLineChars="200"/>
        <w:rPr>
          <w:rFonts w:hAnsi="宋体" w:cs="宋体"/>
          <w:b/>
          <w:color w:val="auto"/>
          <w:szCs w:val="21"/>
          <w:highlight w:val="none"/>
        </w:rPr>
      </w:pPr>
      <w:r>
        <w:rPr>
          <w:rFonts w:hAnsi="宋体" w:cs="宋体"/>
          <w:b/>
          <w:color w:val="auto"/>
          <w:szCs w:val="21"/>
          <w:highlight w:val="none"/>
        </w:rPr>
        <w:t>（六）会议服务</w:t>
      </w:r>
    </w:p>
    <w:p>
      <w:pPr>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1.服务内容</w:t>
      </w:r>
    </w:p>
    <w:p>
      <w:pPr>
        <w:snapToGrid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接受会议预订，记录会议需求，会前准备、引导服务、会中服务、会后工作；小型会议、大型会议、会议服务耗材、涉密会议服务。</w:t>
      </w:r>
    </w:p>
    <w:p>
      <w:pPr>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2.服务标准</w:t>
      </w:r>
    </w:p>
    <w:p>
      <w:pPr>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2.1接受会议预订，记录会议需求。</w:t>
      </w:r>
    </w:p>
    <w:p>
      <w:pPr>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2.2根据会议需求、场地大小、用途，明确会议桌椅、物品、设备、文具等摆放规定。</w:t>
      </w:r>
    </w:p>
    <w:p>
      <w:pPr>
        <w:snapToGrid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2.2.1小型会议会前准备：会前1小时，调试灯光音响设备，保证正常使用，检查室内卫生，打开门窗通风，按规范要求做好会议摆台；会前30分钟，启动空调设备，服务人员就位，迎候与会人员，引导落座，协助安放随身物品；会前5分钟，摆放湿巾、备好茶水。做好引导牌并放置在指定位置，引导人员引导手势规范，语言标准。</w:t>
      </w:r>
    </w:p>
    <w:p>
      <w:pPr>
        <w:snapToGrid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2.2.2大型会议会前准备：按照要求布置会场，提前2小时请采购人检查会场；会前1小时，检查室内卫生，打开门窗通风，按规范要求做好会议摆台；会前30分钟，启动空调设备，服务人员就位，迎候与会人员，引导落座，协助安放随身物品；会前10分钟，为主席台摆放湿巾、备好茶水。做好引导牌并放置在指定位置，引导人员引导手势规范，语言标准。</w:t>
      </w:r>
    </w:p>
    <w:p>
      <w:pPr>
        <w:snapToGrid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2.3做好引导牌并放置在指定位置，引导人员引导手势规范，语言标准。</w:t>
      </w:r>
    </w:p>
    <w:p>
      <w:pPr>
        <w:snapToGrid w:val="0"/>
        <w:spacing w:line="360" w:lineRule="auto"/>
        <w:ind w:firstLine="420" w:firstLineChars="200"/>
        <w:rPr>
          <w:rFonts w:hint="eastAsia" w:ascii="宋体" w:hAnsi="宋体"/>
          <w:color w:val="auto"/>
          <w:szCs w:val="21"/>
          <w:highlight w:val="none"/>
        </w:rPr>
      </w:pPr>
      <w:r>
        <w:rPr>
          <w:rFonts w:hint="eastAsia" w:ascii="宋体" w:hAnsi="宋体" w:cs="宋体"/>
          <w:bCs/>
          <w:color w:val="auto"/>
          <w:szCs w:val="21"/>
          <w:highlight w:val="none"/>
        </w:rPr>
        <w:t>2.4会服人员礼貌热情，待人接物注重礼仪细节，服务操作规范，统一着装，并随时保持工装整洁，化妆适度，不佩戴饰物。</w:t>
      </w:r>
    </w:p>
    <w:p>
      <w:pPr>
        <w:snapToGrid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2.5会议期间按要求加水。每隔30分钟续水一次。涉密会议无会中服务，须提前将热水准备好。</w:t>
      </w:r>
    </w:p>
    <w:p>
      <w:pPr>
        <w:snapToGrid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2.6对会议现场进行检查，做好会场清扫工作，及时提醒、协助与会人员带好随身物品，对遗留的文件和物品，及时交有关部门处理,按分工清理会议用品,关闭空调音响设备及灯具，恢复原会场形式并做好消毒。</w:t>
      </w:r>
    </w:p>
    <w:p>
      <w:pPr>
        <w:snapToGrid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2.7会议服务耗材（如茶叶、纸杯等）由</w:t>
      </w:r>
      <w:r>
        <w:rPr>
          <w:rFonts w:hint="eastAsia" w:ascii="宋体" w:hAnsi="宋体" w:cs="宋体"/>
          <w:bCs/>
          <w:color w:val="auto"/>
          <w:szCs w:val="21"/>
          <w:highlight w:val="none"/>
          <w:u w:val="single"/>
        </w:rPr>
        <w:t xml:space="preserve"> 采购人  </w:t>
      </w:r>
      <w:r>
        <w:rPr>
          <w:rFonts w:hint="eastAsia" w:ascii="宋体" w:hAnsi="宋体" w:cs="宋体"/>
          <w:bCs/>
          <w:color w:val="auto"/>
          <w:szCs w:val="21"/>
          <w:highlight w:val="none"/>
        </w:rPr>
        <w:t>提供。</w:t>
      </w:r>
    </w:p>
    <w:p>
      <w:pPr>
        <w:pStyle w:val="2"/>
        <w:spacing w:before="0" w:line="360" w:lineRule="auto"/>
        <w:ind w:firstLine="420" w:firstLineChars="200"/>
        <w:rPr>
          <w:rFonts w:hint="eastAsia" w:cs="宋体"/>
          <w:bCs/>
          <w:color w:val="auto"/>
          <w:sz w:val="21"/>
          <w:szCs w:val="21"/>
          <w:highlight w:val="none"/>
        </w:rPr>
      </w:pPr>
      <w:r>
        <w:rPr>
          <w:rFonts w:hint="eastAsia" w:cs="宋体"/>
          <w:bCs/>
          <w:color w:val="auto"/>
          <w:sz w:val="21"/>
          <w:szCs w:val="21"/>
          <w:highlight w:val="none"/>
        </w:rPr>
        <w:t>2</w:t>
      </w:r>
      <w:r>
        <w:rPr>
          <w:rFonts w:cs="宋体"/>
          <w:bCs/>
          <w:color w:val="auto"/>
          <w:sz w:val="21"/>
          <w:szCs w:val="21"/>
          <w:highlight w:val="none"/>
        </w:rPr>
        <w:t>.</w:t>
      </w:r>
      <w:r>
        <w:rPr>
          <w:rFonts w:hint="eastAsia" w:cs="宋体"/>
          <w:bCs/>
          <w:color w:val="auto"/>
          <w:sz w:val="21"/>
          <w:szCs w:val="21"/>
          <w:highlight w:val="none"/>
        </w:rPr>
        <w:t>8根据会议活动的人数和时间，合理估算会务服务热水用量,按需供水,减少浪费。</w:t>
      </w:r>
    </w:p>
    <w:p>
      <w:pPr>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3临时保障</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3.1制订流程。配合采购人制订重大活动后勤保障工作流程，需对任务进行详细了解，并根据工作安排制定详细的后勤保障计划。</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实施保障。按计划在关键区域和重点部位进行部署，确保任务顺利进行，对活动区域进行全面安全检查，发现并排除安全隐患，对车辆进行有序引导和管理，确保交通安全畅通，以礼貌、专业的态度对待来宾，展现良好形象。</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3.3收尾工作。对现场进行检查，做好清理工作。</w:t>
      </w:r>
    </w:p>
    <w:p>
      <w:pPr>
        <w:pStyle w:val="2"/>
        <w:spacing w:before="0" w:line="360" w:lineRule="auto"/>
        <w:ind w:firstLine="420" w:firstLineChars="200"/>
        <w:rPr>
          <w:rFonts w:hint="eastAsia" w:cs="宋体"/>
          <w:bCs/>
          <w:color w:val="auto"/>
          <w:sz w:val="21"/>
          <w:szCs w:val="21"/>
          <w:highlight w:val="none"/>
        </w:rPr>
      </w:pPr>
    </w:p>
    <w:p>
      <w:pPr>
        <w:pStyle w:val="7"/>
        <w:adjustRightInd w:val="0"/>
        <w:snapToGrid w:val="0"/>
        <w:spacing w:line="360" w:lineRule="auto"/>
        <w:ind w:firstLine="422" w:firstLineChars="200"/>
        <w:rPr>
          <w:rFonts w:hAnsi="宋体" w:cs="宋体"/>
          <w:b/>
          <w:color w:val="auto"/>
          <w:szCs w:val="21"/>
          <w:highlight w:val="none"/>
        </w:rPr>
      </w:pPr>
      <w:r>
        <w:rPr>
          <w:rFonts w:hAnsi="宋体" w:cs="宋体"/>
          <w:b/>
          <w:color w:val="auto"/>
          <w:szCs w:val="21"/>
          <w:highlight w:val="none"/>
        </w:rPr>
        <w:t>（七）保密要求</w:t>
      </w:r>
    </w:p>
    <w:p>
      <w:pPr>
        <w:snapToGrid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中标人应安排经过专门保密培训的人员担任本项目的保密管理工作，且中标人应与本项目物业服务人员签订保密协议书。本项目物业服务人员需严格遵守检察院的保密规章制度，不得私自留存、复制、抄录、拍摄在工作中接触到的国家秘密载体和工作秘密载体，不得私自进入涉密场所，不得传播已知晓的国家秘密和工作秘密。</w:t>
      </w:r>
    </w:p>
    <w:p>
      <w:pPr>
        <w:spacing w:line="360" w:lineRule="auto"/>
        <w:rPr>
          <w:rFonts w:hint="eastAsia" w:ascii="宋体" w:hAnsi="宋体"/>
          <w:color w:val="auto"/>
          <w:szCs w:val="21"/>
          <w:highlight w:val="none"/>
        </w:rPr>
      </w:pPr>
    </w:p>
    <w:p>
      <w:pPr>
        <w:adjustRightInd w:val="0"/>
        <w:snapToGrid w:val="0"/>
        <w:spacing w:line="360" w:lineRule="auto"/>
        <w:rPr>
          <w:rFonts w:hint="eastAsia" w:ascii="宋体" w:hAnsi="宋体"/>
          <w:b/>
          <w:color w:val="auto"/>
          <w:szCs w:val="21"/>
          <w:highlight w:val="none"/>
        </w:rPr>
      </w:pPr>
      <w:r>
        <w:rPr>
          <w:rFonts w:hint="eastAsia" w:ascii="宋体" w:hAnsi="宋体"/>
          <w:b/>
          <w:color w:val="auto"/>
          <w:szCs w:val="21"/>
          <w:highlight w:val="none"/>
        </w:rPr>
        <w:t xml:space="preserve">2.2 </w:t>
      </w:r>
      <w:r>
        <w:rPr>
          <w:rFonts w:hint="eastAsia" w:ascii="宋体" w:hAnsi="宋体"/>
          <w:b/>
          <w:bCs/>
          <w:color w:val="auto"/>
          <w:szCs w:val="21"/>
          <w:highlight w:val="none"/>
        </w:rPr>
        <w:t>投标人履行合同所需的设备</w:t>
      </w:r>
    </w:p>
    <w:p>
      <w:pPr>
        <w:numPr>
          <w:ilvl w:val="0"/>
          <w:numId w:val="3"/>
        </w:numPr>
        <w:adjustRightInd w:val="0"/>
        <w:snapToGrid w:val="0"/>
        <w:spacing w:line="360" w:lineRule="auto"/>
        <w:rPr>
          <w:rFonts w:hint="eastAsia" w:ascii="宋体" w:hAnsi="宋体"/>
          <w:b/>
          <w:color w:val="auto"/>
          <w:szCs w:val="21"/>
          <w:highlight w:val="none"/>
        </w:rPr>
      </w:pPr>
      <w:r>
        <w:rPr>
          <w:rFonts w:hint="eastAsia" w:ascii="宋体" w:hAnsi="宋体"/>
          <w:b/>
          <w:color w:val="auto"/>
          <w:szCs w:val="21"/>
          <w:highlight w:val="none"/>
        </w:rPr>
        <w:t>需要投标人提供作业设备（自有或租赁）用于物业管理服务的，见下表：</w:t>
      </w:r>
    </w:p>
    <w:tbl>
      <w:tblPr>
        <w:tblStyle w:val="9"/>
        <w:tblW w:w="8064" w:type="dxa"/>
        <w:jc w:val="center"/>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2683"/>
        <w:gridCol w:w="2260"/>
        <w:gridCol w:w="111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2" w:type="dxa"/>
            <w:noWrap w:val="0"/>
            <w:vAlign w:val="center"/>
          </w:tcPr>
          <w:p>
            <w:pPr>
              <w:widowControl/>
              <w:adjustRightInd w:val="0"/>
              <w:snapToGrid w:val="0"/>
              <w:spacing w:line="360" w:lineRule="auto"/>
              <w:rPr>
                <w:rFonts w:hint="eastAsia" w:ascii="宋体" w:hAnsi="宋体" w:cs="Calibri"/>
                <w:bCs/>
                <w:color w:val="auto"/>
                <w:kern w:val="0"/>
                <w:szCs w:val="21"/>
                <w:highlight w:val="none"/>
              </w:rPr>
            </w:pPr>
            <w:r>
              <w:rPr>
                <w:rFonts w:hint="eastAsia" w:ascii="宋体" w:hAnsi="宋体" w:cs="Calibri"/>
                <w:bCs/>
                <w:color w:val="auto"/>
                <w:kern w:val="0"/>
                <w:szCs w:val="21"/>
                <w:highlight w:val="none"/>
              </w:rPr>
              <w:t>序号</w:t>
            </w:r>
          </w:p>
        </w:tc>
        <w:tc>
          <w:tcPr>
            <w:tcW w:w="2683" w:type="dxa"/>
            <w:noWrap w:val="0"/>
            <w:vAlign w:val="center"/>
          </w:tcPr>
          <w:p>
            <w:pPr>
              <w:widowControl/>
              <w:adjustRightInd w:val="0"/>
              <w:snapToGrid w:val="0"/>
              <w:spacing w:line="360" w:lineRule="auto"/>
              <w:ind w:firstLine="420" w:firstLineChars="200"/>
              <w:jc w:val="center"/>
              <w:rPr>
                <w:rFonts w:hint="eastAsia" w:ascii="宋体" w:hAnsi="宋体" w:cs="Calibri"/>
                <w:bCs/>
                <w:color w:val="auto"/>
                <w:kern w:val="0"/>
                <w:szCs w:val="21"/>
                <w:highlight w:val="none"/>
              </w:rPr>
            </w:pPr>
            <w:r>
              <w:rPr>
                <w:rFonts w:hint="eastAsia" w:ascii="宋体" w:hAnsi="宋体" w:cs="Calibri"/>
                <w:bCs/>
                <w:color w:val="auto"/>
                <w:kern w:val="0"/>
                <w:szCs w:val="21"/>
                <w:highlight w:val="none"/>
              </w:rPr>
              <w:t>用途</w:t>
            </w:r>
          </w:p>
        </w:tc>
        <w:tc>
          <w:tcPr>
            <w:tcW w:w="2260" w:type="dxa"/>
            <w:noWrap w:val="0"/>
            <w:vAlign w:val="center"/>
          </w:tcPr>
          <w:p>
            <w:pPr>
              <w:widowControl/>
              <w:adjustRightInd w:val="0"/>
              <w:snapToGrid w:val="0"/>
              <w:spacing w:line="360" w:lineRule="auto"/>
              <w:rPr>
                <w:rFonts w:hint="eastAsia" w:ascii="宋体" w:hAnsi="宋体" w:cs="Calibri"/>
                <w:bCs/>
                <w:color w:val="auto"/>
                <w:kern w:val="0"/>
                <w:szCs w:val="21"/>
                <w:highlight w:val="none"/>
              </w:rPr>
            </w:pPr>
            <w:r>
              <w:rPr>
                <w:rFonts w:hint="eastAsia" w:ascii="宋体" w:hAnsi="宋体" w:cs="Calibri"/>
                <w:bCs/>
                <w:color w:val="auto"/>
                <w:kern w:val="0"/>
                <w:szCs w:val="21"/>
                <w:highlight w:val="none"/>
              </w:rPr>
              <w:t>作业设备名称</w:t>
            </w:r>
          </w:p>
        </w:tc>
        <w:tc>
          <w:tcPr>
            <w:tcW w:w="1115" w:type="dxa"/>
            <w:noWrap w:val="0"/>
            <w:vAlign w:val="center"/>
          </w:tcPr>
          <w:p>
            <w:pPr>
              <w:widowControl/>
              <w:adjustRightInd w:val="0"/>
              <w:snapToGrid w:val="0"/>
              <w:spacing w:line="360" w:lineRule="auto"/>
              <w:rPr>
                <w:rFonts w:hint="eastAsia" w:ascii="宋体" w:hAnsi="宋体" w:cs="Calibri"/>
                <w:bCs/>
                <w:color w:val="auto"/>
                <w:kern w:val="0"/>
                <w:szCs w:val="21"/>
                <w:highlight w:val="none"/>
              </w:rPr>
            </w:pPr>
            <w:r>
              <w:rPr>
                <w:rFonts w:hint="eastAsia" w:ascii="宋体" w:hAnsi="宋体" w:cs="Calibri"/>
                <w:bCs/>
                <w:color w:val="auto"/>
                <w:kern w:val="0"/>
                <w:szCs w:val="21"/>
                <w:highlight w:val="none"/>
              </w:rPr>
              <w:t>数量</w:t>
            </w:r>
          </w:p>
        </w:tc>
        <w:tc>
          <w:tcPr>
            <w:tcW w:w="1134" w:type="dxa"/>
            <w:noWrap w:val="0"/>
            <w:vAlign w:val="center"/>
          </w:tcPr>
          <w:p>
            <w:pPr>
              <w:widowControl/>
              <w:adjustRightInd w:val="0"/>
              <w:snapToGrid w:val="0"/>
              <w:spacing w:line="360" w:lineRule="auto"/>
              <w:rPr>
                <w:rFonts w:hint="eastAsia" w:ascii="宋体" w:hAnsi="宋体" w:cs="Calibri"/>
                <w:bCs/>
                <w:color w:val="auto"/>
                <w:kern w:val="0"/>
                <w:szCs w:val="21"/>
                <w:highlight w:val="none"/>
              </w:rPr>
            </w:pPr>
            <w:r>
              <w:rPr>
                <w:rFonts w:hint="eastAsia" w:ascii="宋体" w:hAnsi="宋体" w:cs="Calibri"/>
                <w:bCs/>
                <w:color w:val="auto"/>
                <w:kern w:val="0"/>
                <w:szCs w:val="21"/>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2" w:type="dxa"/>
            <w:noWrap w:val="0"/>
            <w:vAlign w:val="center"/>
          </w:tcPr>
          <w:p>
            <w:pPr>
              <w:widowControl/>
              <w:adjustRightInd w:val="0"/>
              <w:snapToGrid w:val="0"/>
              <w:spacing w:line="360" w:lineRule="auto"/>
              <w:jc w:val="center"/>
              <w:rPr>
                <w:rFonts w:hint="eastAsia" w:ascii="宋体" w:hAnsi="宋体" w:cs="Calibri"/>
                <w:color w:val="auto"/>
                <w:kern w:val="0"/>
                <w:szCs w:val="21"/>
                <w:highlight w:val="none"/>
              </w:rPr>
            </w:pPr>
            <w:r>
              <w:rPr>
                <w:rFonts w:hint="eastAsia" w:ascii="宋体" w:hAnsi="宋体" w:cs="Calibri"/>
                <w:color w:val="auto"/>
                <w:kern w:val="0"/>
                <w:szCs w:val="21"/>
                <w:highlight w:val="none"/>
              </w:rPr>
              <w:t>1</w:t>
            </w:r>
          </w:p>
        </w:tc>
        <w:tc>
          <w:tcPr>
            <w:tcW w:w="2683" w:type="dxa"/>
            <w:noWrap w:val="0"/>
            <w:vAlign w:val="center"/>
          </w:tcPr>
          <w:p>
            <w:pPr>
              <w:widowControl/>
              <w:adjustRightInd w:val="0"/>
              <w:snapToGrid w:val="0"/>
              <w:spacing w:line="360" w:lineRule="auto"/>
              <w:rPr>
                <w:rFonts w:hint="eastAsia" w:ascii="宋体" w:hAnsi="宋体" w:cs="Calibri"/>
                <w:color w:val="auto"/>
                <w:kern w:val="0"/>
                <w:szCs w:val="21"/>
                <w:highlight w:val="none"/>
              </w:rPr>
            </w:pPr>
            <w:r>
              <w:rPr>
                <w:rFonts w:hint="eastAsia" w:ascii="宋体" w:hAnsi="宋体" w:cs="Calibri"/>
                <w:color w:val="auto"/>
                <w:kern w:val="0"/>
                <w:szCs w:val="21"/>
                <w:highlight w:val="none"/>
              </w:rPr>
              <w:t>基本服务</w:t>
            </w:r>
          </w:p>
        </w:tc>
        <w:tc>
          <w:tcPr>
            <w:tcW w:w="2260" w:type="dxa"/>
            <w:noWrap w:val="0"/>
            <w:vAlign w:val="center"/>
          </w:tcPr>
          <w:p>
            <w:pPr>
              <w:widowControl/>
              <w:adjustRightInd w:val="0"/>
              <w:snapToGrid w:val="0"/>
              <w:spacing w:line="360" w:lineRule="auto"/>
              <w:rPr>
                <w:rFonts w:hint="eastAsia" w:ascii="宋体" w:hAnsi="宋体" w:cs="Calibri"/>
                <w:color w:val="auto"/>
                <w:kern w:val="0"/>
                <w:szCs w:val="21"/>
                <w:highlight w:val="none"/>
              </w:rPr>
            </w:pPr>
            <w:r>
              <w:rPr>
                <w:rFonts w:hint="eastAsia" w:ascii="宋体" w:hAnsi="宋体" w:cs="Calibri"/>
                <w:color w:val="auto"/>
                <w:kern w:val="0"/>
                <w:szCs w:val="21"/>
                <w:highlight w:val="none"/>
              </w:rPr>
              <w:t>电脑、打印机</w:t>
            </w:r>
          </w:p>
        </w:tc>
        <w:tc>
          <w:tcPr>
            <w:tcW w:w="1115" w:type="dxa"/>
            <w:noWrap w:val="0"/>
            <w:vAlign w:val="center"/>
          </w:tcPr>
          <w:p>
            <w:pPr>
              <w:widowControl/>
              <w:adjustRightInd w:val="0"/>
              <w:snapToGrid w:val="0"/>
              <w:spacing w:line="360" w:lineRule="auto"/>
              <w:jc w:val="center"/>
              <w:rPr>
                <w:rFonts w:hint="eastAsia" w:ascii="宋体" w:hAnsi="宋体" w:cs="Calibri"/>
                <w:color w:val="auto"/>
                <w:kern w:val="0"/>
                <w:szCs w:val="21"/>
                <w:highlight w:val="none"/>
              </w:rPr>
            </w:pPr>
            <w:r>
              <w:rPr>
                <w:rFonts w:hint="eastAsia" w:ascii="宋体" w:hAnsi="宋体" w:cs="Calibri"/>
                <w:color w:val="auto"/>
                <w:kern w:val="0"/>
                <w:szCs w:val="21"/>
                <w:highlight w:val="none"/>
              </w:rPr>
              <w:t>各2</w:t>
            </w:r>
          </w:p>
        </w:tc>
        <w:tc>
          <w:tcPr>
            <w:tcW w:w="1134" w:type="dxa"/>
            <w:noWrap w:val="0"/>
            <w:vAlign w:val="center"/>
          </w:tcPr>
          <w:p>
            <w:pPr>
              <w:widowControl/>
              <w:adjustRightInd w:val="0"/>
              <w:snapToGrid w:val="0"/>
              <w:spacing w:line="360" w:lineRule="auto"/>
              <w:jc w:val="center"/>
              <w:rPr>
                <w:rFonts w:hint="eastAsia" w:ascii="宋体" w:hAnsi="宋体" w:cs="Calibri"/>
                <w:color w:val="auto"/>
                <w:kern w:val="0"/>
                <w:szCs w:val="21"/>
                <w:highlight w:val="none"/>
              </w:rPr>
            </w:pPr>
            <w:r>
              <w:rPr>
                <w:rFonts w:hint="eastAsia" w:ascii="宋体" w:hAnsi="宋体" w:cs="Calibri"/>
                <w:color w:val="auto"/>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2" w:type="dxa"/>
            <w:noWrap w:val="0"/>
            <w:vAlign w:val="center"/>
          </w:tcPr>
          <w:p>
            <w:pPr>
              <w:widowControl/>
              <w:adjustRightInd w:val="0"/>
              <w:snapToGrid w:val="0"/>
              <w:spacing w:line="360" w:lineRule="auto"/>
              <w:jc w:val="center"/>
              <w:rPr>
                <w:rFonts w:hint="eastAsia" w:ascii="宋体" w:hAnsi="宋体" w:cs="Calibri"/>
                <w:color w:val="auto"/>
                <w:kern w:val="0"/>
                <w:szCs w:val="21"/>
                <w:highlight w:val="none"/>
              </w:rPr>
            </w:pPr>
            <w:r>
              <w:rPr>
                <w:rFonts w:hint="eastAsia" w:ascii="宋体" w:hAnsi="宋体" w:cs="Calibri"/>
                <w:color w:val="auto"/>
                <w:kern w:val="0"/>
                <w:szCs w:val="21"/>
                <w:highlight w:val="none"/>
              </w:rPr>
              <w:t>2</w:t>
            </w:r>
          </w:p>
        </w:tc>
        <w:tc>
          <w:tcPr>
            <w:tcW w:w="2683" w:type="dxa"/>
            <w:noWrap w:val="0"/>
            <w:vAlign w:val="center"/>
          </w:tcPr>
          <w:p>
            <w:pPr>
              <w:widowControl/>
              <w:adjustRightInd w:val="0"/>
              <w:snapToGrid w:val="0"/>
              <w:spacing w:line="360" w:lineRule="auto"/>
              <w:rPr>
                <w:rFonts w:hint="eastAsia" w:ascii="宋体" w:hAnsi="宋体" w:cs="Calibri"/>
                <w:color w:val="auto"/>
                <w:kern w:val="0"/>
                <w:szCs w:val="21"/>
                <w:highlight w:val="none"/>
              </w:rPr>
            </w:pPr>
            <w:r>
              <w:rPr>
                <w:rFonts w:hint="eastAsia" w:ascii="宋体" w:hAnsi="宋体" w:cs="Calibri"/>
                <w:color w:val="auto"/>
                <w:kern w:val="0"/>
                <w:szCs w:val="21"/>
                <w:highlight w:val="none"/>
              </w:rPr>
              <w:t>房屋维修服务</w:t>
            </w:r>
          </w:p>
        </w:tc>
        <w:tc>
          <w:tcPr>
            <w:tcW w:w="2260" w:type="dxa"/>
            <w:noWrap w:val="0"/>
            <w:vAlign w:val="center"/>
          </w:tcPr>
          <w:p>
            <w:pPr>
              <w:widowControl/>
              <w:adjustRightInd w:val="0"/>
              <w:snapToGrid w:val="0"/>
              <w:spacing w:line="360" w:lineRule="auto"/>
              <w:rPr>
                <w:rFonts w:hint="eastAsia" w:ascii="宋体" w:hAnsi="宋体" w:cs="Calibri"/>
                <w:color w:val="auto"/>
                <w:kern w:val="0"/>
                <w:szCs w:val="21"/>
                <w:highlight w:val="none"/>
              </w:rPr>
            </w:pPr>
            <w:r>
              <w:rPr>
                <w:rFonts w:hint="eastAsia" w:ascii="宋体" w:hAnsi="宋体" w:cs="Calibri"/>
                <w:color w:val="auto"/>
                <w:kern w:val="0"/>
                <w:szCs w:val="21"/>
                <w:highlight w:val="none"/>
              </w:rPr>
              <w:t>12米液压升降车</w:t>
            </w:r>
          </w:p>
        </w:tc>
        <w:tc>
          <w:tcPr>
            <w:tcW w:w="1115" w:type="dxa"/>
            <w:noWrap w:val="0"/>
            <w:vAlign w:val="center"/>
          </w:tcPr>
          <w:p>
            <w:pPr>
              <w:widowControl/>
              <w:adjustRightInd w:val="0"/>
              <w:snapToGrid w:val="0"/>
              <w:spacing w:line="360" w:lineRule="auto"/>
              <w:jc w:val="center"/>
              <w:rPr>
                <w:rFonts w:hint="eastAsia" w:ascii="宋体" w:hAnsi="宋体" w:cs="Calibri"/>
                <w:color w:val="auto"/>
                <w:kern w:val="0"/>
                <w:szCs w:val="21"/>
                <w:highlight w:val="none"/>
              </w:rPr>
            </w:pPr>
            <w:r>
              <w:rPr>
                <w:rFonts w:hint="eastAsia" w:ascii="宋体" w:hAnsi="宋体" w:cs="Calibri"/>
                <w:color w:val="auto"/>
                <w:kern w:val="0"/>
                <w:szCs w:val="21"/>
                <w:highlight w:val="none"/>
              </w:rPr>
              <w:t>1</w:t>
            </w:r>
          </w:p>
        </w:tc>
        <w:tc>
          <w:tcPr>
            <w:tcW w:w="1134" w:type="dxa"/>
            <w:noWrap w:val="0"/>
            <w:vAlign w:val="center"/>
          </w:tcPr>
          <w:p>
            <w:pPr>
              <w:widowControl/>
              <w:adjustRightInd w:val="0"/>
              <w:snapToGrid w:val="0"/>
              <w:spacing w:line="360" w:lineRule="auto"/>
              <w:jc w:val="center"/>
              <w:rPr>
                <w:rFonts w:hint="eastAsia" w:ascii="宋体" w:hAnsi="宋体" w:cs="Calibri"/>
                <w:color w:val="auto"/>
                <w:kern w:val="0"/>
                <w:szCs w:val="21"/>
                <w:highlight w:val="none"/>
              </w:rPr>
            </w:pPr>
            <w:r>
              <w:rPr>
                <w:rFonts w:hint="eastAsia" w:ascii="宋体" w:hAnsi="宋体" w:cs="Calibri"/>
                <w:color w:val="auto"/>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2" w:type="dxa"/>
            <w:noWrap w:val="0"/>
            <w:vAlign w:val="center"/>
          </w:tcPr>
          <w:p>
            <w:pPr>
              <w:widowControl/>
              <w:adjustRightInd w:val="0"/>
              <w:snapToGrid w:val="0"/>
              <w:spacing w:line="360" w:lineRule="auto"/>
              <w:jc w:val="center"/>
              <w:rPr>
                <w:rFonts w:hint="eastAsia" w:ascii="宋体" w:hAnsi="宋体" w:cs="Calibri"/>
                <w:color w:val="auto"/>
                <w:kern w:val="0"/>
                <w:szCs w:val="21"/>
                <w:highlight w:val="none"/>
              </w:rPr>
            </w:pPr>
            <w:r>
              <w:rPr>
                <w:rFonts w:hint="eastAsia" w:ascii="宋体" w:hAnsi="宋体" w:cs="Calibri"/>
                <w:color w:val="auto"/>
                <w:kern w:val="0"/>
                <w:szCs w:val="21"/>
                <w:highlight w:val="none"/>
              </w:rPr>
              <w:t>3</w:t>
            </w:r>
          </w:p>
        </w:tc>
        <w:tc>
          <w:tcPr>
            <w:tcW w:w="2683" w:type="dxa"/>
            <w:noWrap w:val="0"/>
            <w:vAlign w:val="center"/>
          </w:tcPr>
          <w:p>
            <w:pPr>
              <w:widowControl/>
              <w:adjustRightInd w:val="0"/>
              <w:snapToGrid w:val="0"/>
              <w:spacing w:line="360" w:lineRule="auto"/>
              <w:rPr>
                <w:rFonts w:hint="eastAsia" w:ascii="宋体" w:hAnsi="宋体" w:cs="Calibri"/>
                <w:color w:val="auto"/>
                <w:kern w:val="0"/>
                <w:szCs w:val="21"/>
                <w:highlight w:val="none"/>
              </w:rPr>
            </w:pPr>
            <w:r>
              <w:rPr>
                <w:rFonts w:hint="eastAsia" w:ascii="宋体" w:hAnsi="宋体"/>
                <w:color w:val="auto"/>
                <w:szCs w:val="21"/>
                <w:highlight w:val="none"/>
              </w:rPr>
              <w:t>公用设施设备维护服务</w:t>
            </w:r>
          </w:p>
        </w:tc>
        <w:tc>
          <w:tcPr>
            <w:tcW w:w="2260" w:type="dxa"/>
            <w:noWrap w:val="0"/>
            <w:vAlign w:val="center"/>
          </w:tcPr>
          <w:p>
            <w:pPr>
              <w:widowControl/>
              <w:adjustRightInd w:val="0"/>
              <w:snapToGrid w:val="0"/>
              <w:spacing w:line="360" w:lineRule="auto"/>
              <w:rPr>
                <w:rFonts w:hint="eastAsia" w:ascii="宋体" w:hAnsi="宋体" w:cs="Calibri"/>
                <w:color w:val="auto"/>
                <w:kern w:val="0"/>
                <w:szCs w:val="21"/>
                <w:highlight w:val="none"/>
              </w:rPr>
            </w:pPr>
            <w:r>
              <w:rPr>
                <w:rFonts w:hint="eastAsia" w:ascii="宋体" w:hAnsi="宋体" w:cs="Calibri"/>
                <w:color w:val="auto"/>
                <w:kern w:val="0"/>
                <w:szCs w:val="21"/>
                <w:highlight w:val="none"/>
              </w:rPr>
              <w:t>管道探测仪</w:t>
            </w:r>
          </w:p>
        </w:tc>
        <w:tc>
          <w:tcPr>
            <w:tcW w:w="1115" w:type="dxa"/>
            <w:noWrap w:val="0"/>
            <w:vAlign w:val="center"/>
          </w:tcPr>
          <w:p>
            <w:pPr>
              <w:widowControl/>
              <w:adjustRightInd w:val="0"/>
              <w:snapToGrid w:val="0"/>
              <w:spacing w:line="360" w:lineRule="auto"/>
              <w:jc w:val="center"/>
              <w:rPr>
                <w:rFonts w:hint="eastAsia" w:ascii="宋体" w:hAnsi="宋体" w:cs="Calibri"/>
                <w:color w:val="auto"/>
                <w:kern w:val="0"/>
                <w:szCs w:val="21"/>
                <w:highlight w:val="none"/>
              </w:rPr>
            </w:pPr>
            <w:r>
              <w:rPr>
                <w:rFonts w:hint="eastAsia" w:ascii="宋体" w:hAnsi="宋体" w:cs="Calibri"/>
                <w:color w:val="auto"/>
                <w:kern w:val="0"/>
                <w:szCs w:val="21"/>
                <w:highlight w:val="none"/>
              </w:rPr>
              <w:t>1</w:t>
            </w:r>
          </w:p>
        </w:tc>
        <w:tc>
          <w:tcPr>
            <w:tcW w:w="1134" w:type="dxa"/>
            <w:noWrap w:val="0"/>
            <w:vAlign w:val="center"/>
          </w:tcPr>
          <w:p>
            <w:pPr>
              <w:widowControl/>
              <w:adjustRightInd w:val="0"/>
              <w:snapToGrid w:val="0"/>
              <w:spacing w:line="360" w:lineRule="auto"/>
              <w:jc w:val="center"/>
              <w:rPr>
                <w:rFonts w:hint="eastAsia" w:ascii="宋体" w:hAnsi="宋体" w:cs="Calibri"/>
                <w:color w:val="auto"/>
                <w:kern w:val="0"/>
                <w:szCs w:val="21"/>
                <w:highlight w:val="none"/>
              </w:rPr>
            </w:pPr>
            <w:r>
              <w:rPr>
                <w:rFonts w:hint="eastAsia" w:ascii="宋体" w:hAnsi="宋体" w:cs="Calibri"/>
                <w:color w:val="auto"/>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jc w:val="center"/>
        </w:trPr>
        <w:tc>
          <w:tcPr>
            <w:tcW w:w="872" w:type="dxa"/>
            <w:noWrap w:val="0"/>
            <w:vAlign w:val="center"/>
          </w:tcPr>
          <w:p>
            <w:pPr>
              <w:widowControl/>
              <w:adjustRightInd w:val="0"/>
              <w:snapToGrid w:val="0"/>
              <w:spacing w:line="360" w:lineRule="auto"/>
              <w:jc w:val="center"/>
              <w:rPr>
                <w:rFonts w:hint="eastAsia" w:ascii="宋体" w:hAnsi="宋体" w:cs="Calibri"/>
                <w:color w:val="auto"/>
                <w:kern w:val="0"/>
                <w:szCs w:val="21"/>
                <w:highlight w:val="none"/>
              </w:rPr>
            </w:pPr>
            <w:r>
              <w:rPr>
                <w:rFonts w:hint="eastAsia" w:ascii="宋体" w:hAnsi="宋体" w:cs="Calibri"/>
                <w:color w:val="auto"/>
                <w:kern w:val="0"/>
                <w:szCs w:val="21"/>
                <w:highlight w:val="none"/>
              </w:rPr>
              <w:t>4</w:t>
            </w:r>
          </w:p>
        </w:tc>
        <w:tc>
          <w:tcPr>
            <w:tcW w:w="2683" w:type="dxa"/>
            <w:noWrap w:val="0"/>
            <w:vAlign w:val="center"/>
          </w:tcPr>
          <w:p>
            <w:pPr>
              <w:widowControl/>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保洁服务</w:t>
            </w:r>
          </w:p>
        </w:tc>
        <w:tc>
          <w:tcPr>
            <w:tcW w:w="2260" w:type="dxa"/>
            <w:noWrap w:val="0"/>
            <w:vAlign w:val="center"/>
          </w:tcPr>
          <w:p>
            <w:pPr>
              <w:widowControl/>
              <w:adjustRightInd w:val="0"/>
              <w:snapToGrid w:val="0"/>
              <w:spacing w:line="360" w:lineRule="auto"/>
              <w:rPr>
                <w:rFonts w:hint="eastAsia" w:ascii="宋体" w:hAnsi="宋体" w:cs="Calibri"/>
                <w:color w:val="auto"/>
                <w:kern w:val="0"/>
                <w:szCs w:val="21"/>
                <w:highlight w:val="none"/>
              </w:rPr>
            </w:pPr>
            <w:r>
              <w:rPr>
                <w:rFonts w:hint="eastAsia" w:ascii="宋体" w:hAnsi="宋体" w:cs="Calibri"/>
                <w:color w:val="auto"/>
                <w:kern w:val="0"/>
                <w:szCs w:val="21"/>
                <w:highlight w:val="none"/>
              </w:rPr>
              <w:t>洗地机、地毯清洗机</w:t>
            </w:r>
          </w:p>
        </w:tc>
        <w:tc>
          <w:tcPr>
            <w:tcW w:w="1115" w:type="dxa"/>
            <w:noWrap w:val="0"/>
            <w:vAlign w:val="center"/>
          </w:tcPr>
          <w:p>
            <w:pPr>
              <w:widowControl/>
              <w:adjustRightInd w:val="0"/>
              <w:snapToGrid w:val="0"/>
              <w:spacing w:line="360" w:lineRule="auto"/>
              <w:jc w:val="center"/>
              <w:rPr>
                <w:rFonts w:hint="eastAsia" w:ascii="宋体" w:hAnsi="宋体" w:cs="Calibri"/>
                <w:color w:val="auto"/>
                <w:kern w:val="0"/>
                <w:szCs w:val="21"/>
                <w:highlight w:val="none"/>
              </w:rPr>
            </w:pPr>
            <w:r>
              <w:rPr>
                <w:rFonts w:hint="eastAsia" w:ascii="宋体" w:hAnsi="宋体" w:cs="Calibri"/>
                <w:color w:val="auto"/>
                <w:kern w:val="0"/>
                <w:szCs w:val="21"/>
                <w:highlight w:val="none"/>
              </w:rPr>
              <w:t>各1</w:t>
            </w:r>
          </w:p>
        </w:tc>
        <w:tc>
          <w:tcPr>
            <w:tcW w:w="1134" w:type="dxa"/>
            <w:noWrap w:val="0"/>
            <w:vAlign w:val="center"/>
          </w:tcPr>
          <w:p>
            <w:pPr>
              <w:widowControl/>
              <w:adjustRightInd w:val="0"/>
              <w:snapToGrid w:val="0"/>
              <w:spacing w:line="360" w:lineRule="auto"/>
              <w:jc w:val="center"/>
              <w:rPr>
                <w:rFonts w:hint="eastAsia" w:ascii="宋体" w:hAnsi="宋体" w:cs="Calibri"/>
                <w:color w:val="auto"/>
                <w:kern w:val="0"/>
                <w:szCs w:val="21"/>
                <w:highlight w:val="none"/>
              </w:rPr>
            </w:pPr>
            <w:r>
              <w:rPr>
                <w:rFonts w:hint="eastAsia" w:ascii="宋体" w:hAnsi="宋体" w:cs="Calibri"/>
                <w:color w:val="auto"/>
                <w:kern w:val="0"/>
                <w:szCs w:val="21"/>
                <w:highlight w:val="none"/>
              </w:rPr>
              <w:t>台</w:t>
            </w:r>
          </w:p>
        </w:tc>
      </w:tr>
    </w:tbl>
    <w:p>
      <w:pPr>
        <w:pStyle w:val="4"/>
        <w:adjustRightInd w:val="0"/>
        <w:snapToGrid w:val="0"/>
        <w:spacing w:line="360" w:lineRule="auto"/>
        <w:ind w:firstLine="420" w:firstLineChars="200"/>
        <w:rPr>
          <w:rFonts w:hint="eastAsia" w:ascii="宋体" w:hAnsi="宋体" w:cs="楷体"/>
          <w:bCs/>
          <w:color w:val="auto"/>
          <w:szCs w:val="21"/>
          <w:highlight w:val="none"/>
        </w:rPr>
      </w:pPr>
      <w:r>
        <w:rPr>
          <w:rFonts w:hint="eastAsia" w:ascii="宋体" w:hAnsi="宋体" w:cs="楷体"/>
          <w:bCs/>
          <w:color w:val="auto"/>
          <w:szCs w:val="21"/>
          <w:highlight w:val="none"/>
        </w:rPr>
        <w:t>注：采购人已无偿提供的作业设备，不在此重复要求。</w:t>
      </w:r>
    </w:p>
    <w:p>
      <w:pPr>
        <w:numPr>
          <w:ilvl w:val="0"/>
          <w:numId w:val="3"/>
        </w:numPr>
        <w:adjustRightInd w:val="0"/>
        <w:snapToGrid w:val="0"/>
        <w:spacing w:line="360" w:lineRule="auto"/>
        <w:rPr>
          <w:rFonts w:hint="eastAsia" w:ascii="宋体" w:hAnsi="宋体" w:cs="楷体"/>
          <w:bCs/>
          <w:color w:val="auto"/>
          <w:szCs w:val="21"/>
          <w:highlight w:val="none"/>
        </w:rPr>
      </w:pPr>
      <w:r>
        <w:rPr>
          <w:rFonts w:hint="eastAsia" w:ascii="宋体" w:hAnsi="宋体"/>
          <w:b/>
          <w:color w:val="auto"/>
          <w:szCs w:val="21"/>
          <w:highlight w:val="none"/>
        </w:rPr>
        <w:t>采购人提供供应商使用的场地、设施、设备、材料等。</w:t>
      </w:r>
    </w:p>
    <w:p>
      <w:pPr>
        <w:pStyle w:val="4"/>
        <w:adjustRightInd w:val="0"/>
        <w:snapToGrid w:val="0"/>
        <w:spacing w:line="360" w:lineRule="auto"/>
        <w:ind w:firstLine="420" w:firstLineChars="200"/>
        <w:rPr>
          <w:rFonts w:hint="eastAsia" w:ascii="宋体" w:hAnsi="宋体" w:cs="楷体"/>
          <w:bCs/>
          <w:color w:val="auto"/>
          <w:szCs w:val="21"/>
          <w:highlight w:val="none"/>
        </w:rPr>
      </w:pPr>
      <w:r>
        <w:rPr>
          <w:rFonts w:hint="eastAsia" w:ascii="宋体" w:hAnsi="宋体" w:cs="楷体"/>
          <w:bCs/>
          <w:color w:val="auto"/>
          <w:szCs w:val="21"/>
          <w:highlight w:val="none"/>
        </w:rPr>
        <w:t>1.采购人可提供办公室2间，面积约40平方米。电脑、打印机等办公设备由投标人自行解决。</w:t>
      </w:r>
    </w:p>
    <w:p>
      <w:pPr>
        <w:pStyle w:val="4"/>
        <w:adjustRightInd w:val="0"/>
        <w:snapToGrid w:val="0"/>
        <w:spacing w:line="360" w:lineRule="auto"/>
        <w:ind w:firstLine="420" w:firstLineChars="200"/>
        <w:rPr>
          <w:rFonts w:hint="eastAsia" w:ascii="宋体" w:hAnsi="宋体" w:cs="楷体"/>
          <w:bCs/>
          <w:color w:val="auto"/>
          <w:szCs w:val="21"/>
          <w:highlight w:val="none"/>
        </w:rPr>
      </w:pPr>
      <w:r>
        <w:rPr>
          <w:rFonts w:hint="eastAsia" w:ascii="宋体" w:hAnsi="宋体" w:cs="楷体"/>
          <w:bCs/>
          <w:color w:val="auto"/>
          <w:szCs w:val="21"/>
          <w:highlight w:val="none"/>
        </w:rPr>
        <w:t>2.采购人可提供的物业管理服务设备：升降机1台</w:t>
      </w:r>
    </w:p>
    <w:p>
      <w:pPr>
        <w:pStyle w:val="4"/>
        <w:adjustRightInd w:val="0"/>
        <w:snapToGrid w:val="0"/>
        <w:spacing w:line="360" w:lineRule="auto"/>
        <w:ind w:firstLine="420" w:firstLineChars="200"/>
        <w:rPr>
          <w:rFonts w:hint="eastAsia" w:ascii="宋体" w:hAnsi="宋体" w:cs="楷体"/>
          <w:bCs/>
          <w:color w:val="auto"/>
          <w:szCs w:val="21"/>
          <w:highlight w:val="none"/>
        </w:rPr>
      </w:pPr>
      <w:r>
        <w:rPr>
          <w:rFonts w:hint="eastAsia" w:ascii="宋体" w:hAnsi="宋体" w:cs="楷体"/>
          <w:bCs/>
          <w:color w:val="auto"/>
          <w:szCs w:val="21"/>
          <w:highlight w:val="none"/>
        </w:rPr>
        <w:t>3.采购人可提供食堂，餐费由投标人自理；</w:t>
      </w:r>
    </w:p>
    <w:p>
      <w:pPr>
        <w:pStyle w:val="4"/>
        <w:adjustRightInd w:val="0"/>
        <w:snapToGrid w:val="0"/>
        <w:spacing w:line="360" w:lineRule="auto"/>
        <w:ind w:firstLine="420" w:firstLineChars="200"/>
        <w:rPr>
          <w:rFonts w:hint="eastAsia" w:ascii="宋体" w:hAnsi="宋体" w:cs="楷体"/>
          <w:bCs/>
          <w:color w:val="auto"/>
          <w:szCs w:val="21"/>
          <w:highlight w:val="none"/>
        </w:rPr>
      </w:pPr>
      <w:r>
        <w:rPr>
          <w:rFonts w:hint="eastAsia" w:ascii="宋体" w:hAnsi="宋体" w:cs="楷体"/>
          <w:bCs/>
          <w:color w:val="auto"/>
          <w:szCs w:val="21"/>
          <w:highlight w:val="none"/>
        </w:rPr>
        <w:t>4.采购人可提供住宿，宿舍数量7间，可容纳床位约20张；</w:t>
      </w:r>
    </w:p>
    <w:p>
      <w:pPr>
        <w:pStyle w:val="4"/>
        <w:adjustRightInd w:val="0"/>
        <w:snapToGrid w:val="0"/>
        <w:spacing w:line="360" w:lineRule="auto"/>
        <w:ind w:firstLine="420" w:firstLineChars="200"/>
        <w:rPr>
          <w:rFonts w:hint="eastAsia" w:ascii="宋体" w:hAnsi="宋体" w:cs="楷体"/>
          <w:bCs/>
          <w:color w:val="auto"/>
          <w:szCs w:val="21"/>
          <w:highlight w:val="none"/>
        </w:rPr>
      </w:pPr>
      <w:r>
        <w:rPr>
          <w:rFonts w:hint="eastAsia" w:ascii="宋体" w:hAnsi="宋体" w:cs="楷体"/>
          <w:bCs/>
          <w:color w:val="auto"/>
          <w:szCs w:val="21"/>
          <w:highlight w:val="none"/>
        </w:rPr>
        <w:t>5.采购人可提供的零星维修材料；</w:t>
      </w:r>
    </w:p>
    <w:p>
      <w:pPr>
        <w:pStyle w:val="4"/>
        <w:adjustRightInd w:val="0"/>
        <w:snapToGrid w:val="0"/>
        <w:spacing w:line="360" w:lineRule="auto"/>
        <w:ind w:firstLine="420" w:firstLineChars="200"/>
        <w:rPr>
          <w:rFonts w:hint="eastAsia" w:ascii="宋体" w:hAnsi="宋体" w:cs="楷体"/>
          <w:bCs/>
          <w:color w:val="auto"/>
          <w:szCs w:val="21"/>
          <w:highlight w:val="none"/>
        </w:rPr>
      </w:pPr>
      <w:r>
        <w:rPr>
          <w:rFonts w:hint="eastAsia" w:ascii="宋体" w:hAnsi="宋体" w:cs="楷体"/>
          <w:bCs/>
          <w:color w:val="auto"/>
          <w:szCs w:val="21"/>
          <w:highlight w:val="none"/>
        </w:rPr>
        <w:t>6.采购人可提供的低值易耗品；</w:t>
      </w:r>
    </w:p>
    <w:p>
      <w:pPr>
        <w:pStyle w:val="4"/>
        <w:adjustRightInd w:val="0"/>
        <w:snapToGrid w:val="0"/>
        <w:spacing w:line="360" w:lineRule="auto"/>
        <w:ind w:firstLine="420" w:firstLineChars="200"/>
        <w:rPr>
          <w:rFonts w:hint="eastAsia" w:ascii="宋体" w:hAnsi="宋体" w:cs="楷体"/>
          <w:bCs/>
          <w:color w:val="auto"/>
          <w:szCs w:val="21"/>
          <w:highlight w:val="none"/>
        </w:rPr>
      </w:pPr>
      <w:r>
        <w:rPr>
          <w:rFonts w:hint="eastAsia" w:ascii="宋体" w:hAnsi="宋体" w:cs="楷体"/>
          <w:bCs/>
          <w:color w:val="auto"/>
          <w:szCs w:val="21"/>
          <w:highlight w:val="none"/>
        </w:rPr>
        <w:t>7.采购人可提供的苗木：绿化种植的苗木由采购人提供；</w:t>
      </w:r>
    </w:p>
    <w:p>
      <w:pPr>
        <w:pStyle w:val="4"/>
        <w:adjustRightInd w:val="0"/>
        <w:snapToGrid w:val="0"/>
        <w:spacing w:line="360" w:lineRule="auto"/>
        <w:ind w:firstLine="420" w:firstLineChars="200"/>
        <w:rPr>
          <w:rFonts w:hint="eastAsia" w:ascii="宋体" w:hAnsi="宋体" w:cs="楷体"/>
          <w:bCs/>
          <w:color w:val="auto"/>
          <w:szCs w:val="21"/>
          <w:highlight w:val="none"/>
        </w:rPr>
      </w:pPr>
      <w:r>
        <w:rPr>
          <w:rFonts w:hint="eastAsia" w:ascii="宋体" w:hAnsi="宋体" w:cs="楷体"/>
          <w:bCs/>
          <w:color w:val="auto"/>
          <w:szCs w:val="21"/>
          <w:highlight w:val="none"/>
        </w:rPr>
        <w:t>8.采购人可提供的客耗品：大盘纸、擦手纸、软抽纸、湿纸巾、洗手液、消毒液。</w:t>
      </w:r>
    </w:p>
    <w:p>
      <w:pPr>
        <w:pStyle w:val="4"/>
        <w:adjustRightInd w:val="0"/>
        <w:snapToGrid w:val="0"/>
        <w:spacing w:line="360" w:lineRule="auto"/>
        <w:ind w:firstLine="420" w:firstLineChars="200"/>
        <w:rPr>
          <w:rFonts w:hint="eastAsia" w:ascii="宋体" w:hAnsi="宋体" w:cs="楷体"/>
          <w:bCs/>
          <w:color w:val="auto"/>
          <w:szCs w:val="21"/>
          <w:highlight w:val="none"/>
        </w:rPr>
      </w:pPr>
      <w:r>
        <w:rPr>
          <w:rFonts w:hint="eastAsia" w:ascii="宋体" w:hAnsi="宋体" w:cs="楷体"/>
          <w:bCs/>
          <w:color w:val="auto"/>
          <w:szCs w:val="21"/>
          <w:highlight w:val="none"/>
        </w:rPr>
        <w:t>投标人应当承担除以上所列场地、设施、设备、材料外，与物业管理服务有关的其他场地、设施、设备、材料等。</w:t>
      </w:r>
    </w:p>
    <w:p>
      <w:pPr>
        <w:pStyle w:val="4"/>
        <w:adjustRightInd w:val="0"/>
        <w:snapToGrid w:val="0"/>
        <w:spacing w:line="360" w:lineRule="auto"/>
        <w:ind w:left="840" w:firstLine="420" w:firstLineChars="200"/>
        <w:rPr>
          <w:rFonts w:hint="eastAsia" w:ascii="宋体" w:hAnsi="宋体" w:cs="楷体"/>
          <w:bCs/>
          <w:color w:val="auto"/>
          <w:szCs w:val="21"/>
          <w:highlight w:val="none"/>
        </w:rPr>
      </w:pPr>
    </w:p>
    <w:p>
      <w:pPr>
        <w:adjustRightInd w:val="0"/>
        <w:snapToGrid w:val="0"/>
        <w:spacing w:line="360" w:lineRule="auto"/>
        <w:rPr>
          <w:rFonts w:hint="eastAsia" w:ascii="宋体" w:hAnsi="宋体"/>
          <w:b/>
          <w:color w:val="auto"/>
          <w:szCs w:val="21"/>
          <w:highlight w:val="none"/>
        </w:rPr>
      </w:pPr>
      <w:r>
        <w:rPr>
          <w:rFonts w:hint="eastAsia" w:ascii="宋体" w:hAnsi="宋体"/>
          <w:b/>
          <w:color w:val="auto"/>
          <w:szCs w:val="21"/>
          <w:highlight w:val="none"/>
        </w:rPr>
        <w:t>2.3服务人员要求</w:t>
      </w:r>
    </w:p>
    <w:p>
      <w:pPr>
        <w:snapToGrid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本项目人员配置不少于2</w:t>
      </w:r>
      <w:r>
        <w:rPr>
          <w:rFonts w:ascii="宋体" w:hAnsi="宋体" w:cs="宋体"/>
          <w:bCs/>
          <w:color w:val="auto"/>
          <w:szCs w:val="21"/>
          <w:highlight w:val="none"/>
        </w:rPr>
        <w:t>7</w:t>
      </w:r>
      <w:r>
        <w:rPr>
          <w:rFonts w:hint="eastAsia" w:ascii="宋体" w:hAnsi="宋体" w:cs="宋体"/>
          <w:bCs/>
          <w:color w:val="auto"/>
          <w:szCs w:val="21"/>
          <w:highlight w:val="none"/>
        </w:rPr>
        <w:t>人。</w:t>
      </w:r>
    </w:p>
    <w:p>
      <w:pPr>
        <w:snapToGrid w:val="0"/>
        <w:spacing w:line="360" w:lineRule="auto"/>
        <w:ind w:firstLine="422" w:firstLineChars="200"/>
        <w:outlineLvl w:val="1"/>
        <w:rPr>
          <w:rFonts w:hint="eastAsia" w:ascii="宋体" w:hAnsi="宋体" w:cs="宋体"/>
          <w:b/>
          <w:bCs/>
          <w:color w:val="auto"/>
          <w:szCs w:val="21"/>
          <w:highlight w:val="none"/>
        </w:rPr>
      </w:pPr>
      <w:r>
        <w:rPr>
          <w:rFonts w:hint="eastAsia" w:ascii="宋体" w:hAnsi="宋体" w:cs="宋体"/>
          <w:b/>
          <w:bCs/>
          <w:color w:val="auto"/>
          <w:szCs w:val="21"/>
          <w:highlight w:val="none"/>
        </w:rPr>
        <w:t>（一）基本要求</w:t>
      </w:r>
    </w:p>
    <w:p>
      <w:pPr>
        <w:snapToGrid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1.从业人员按照相关规定取得职业资格证书,具备履行职责的身体条件</w:t>
      </w:r>
      <w:r>
        <w:rPr>
          <w:rFonts w:hint="eastAsia" w:ascii="宋体" w:hAnsi="宋体" w:cs="宋体"/>
          <w:bCs/>
          <w:dstrike w:val="0"/>
          <w:color w:val="auto"/>
          <w:szCs w:val="21"/>
          <w:highlight w:val="none"/>
          <w:lang w:eastAsia="zh-CN"/>
        </w:rPr>
        <w:t>，</w:t>
      </w:r>
      <w:r>
        <w:rPr>
          <w:rFonts w:hint="eastAsia" w:ascii="宋体" w:hAnsi="宋体" w:cs="宋体"/>
          <w:bCs/>
          <w:color w:val="auto"/>
          <w:szCs w:val="21"/>
          <w:highlight w:val="none"/>
        </w:rPr>
        <w:t>均须经采购人审查合格后方可上岗。</w:t>
      </w:r>
    </w:p>
    <w:p>
      <w:pPr>
        <w:snapToGrid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2.项目经理年龄在4</w:t>
      </w:r>
      <w:r>
        <w:rPr>
          <w:rFonts w:ascii="宋体" w:hAnsi="宋体" w:cs="宋体"/>
          <w:bCs/>
          <w:color w:val="auto"/>
          <w:szCs w:val="21"/>
          <w:highlight w:val="none"/>
        </w:rPr>
        <w:t>5</w:t>
      </w:r>
      <w:r>
        <w:rPr>
          <w:rFonts w:hint="eastAsia" w:ascii="宋体" w:hAnsi="宋体" w:cs="宋体"/>
          <w:bCs/>
          <w:color w:val="auto"/>
          <w:szCs w:val="21"/>
          <w:highlight w:val="none"/>
        </w:rPr>
        <w:t>周岁（含）以下，应具有本科及以上学历，</w:t>
      </w:r>
      <w:r>
        <w:rPr>
          <w:rFonts w:hint="eastAsia" w:ascii="宋体" w:hAnsi="宋体" w:cs="宋体"/>
          <w:color w:val="auto"/>
          <w:kern w:val="0"/>
          <w:szCs w:val="21"/>
          <w:highlight w:val="none"/>
        </w:rPr>
        <w:t>具有中级及以上职称证书，具有有效期内的《北京市从业人员健康证明》，</w:t>
      </w:r>
      <w:r>
        <w:rPr>
          <w:rFonts w:hint="eastAsia" w:ascii="宋体" w:hAnsi="宋体" w:cs="宋体"/>
          <w:bCs/>
          <w:color w:val="auto"/>
          <w:szCs w:val="21"/>
          <w:highlight w:val="none"/>
        </w:rPr>
        <w:t>具有5年</w:t>
      </w:r>
      <w:bookmarkStart w:id="2" w:name="OLE_LINK72"/>
      <w:r>
        <w:rPr>
          <w:rFonts w:hint="eastAsia" w:ascii="宋体" w:hAnsi="宋体" w:cs="宋体"/>
          <w:bCs/>
          <w:color w:val="auto"/>
          <w:szCs w:val="21"/>
          <w:highlight w:val="none"/>
        </w:rPr>
        <w:t>（含）</w:t>
      </w:r>
      <w:bookmarkEnd w:id="2"/>
      <w:r>
        <w:rPr>
          <w:rFonts w:hint="eastAsia" w:ascii="宋体" w:hAnsi="宋体" w:cs="宋体"/>
          <w:bCs/>
          <w:color w:val="auto"/>
          <w:szCs w:val="21"/>
          <w:highlight w:val="none"/>
        </w:rPr>
        <w:t>以上</w:t>
      </w:r>
      <w:r>
        <w:rPr>
          <w:rFonts w:hint="eastAsia" w:ascii="宋体" w:hAnsi="宋体" w:cs="宋体"/>
          <w:color w:val="auto"/>
          <w:kern w:val="0"/>
          <w:szCs w:val="21"/>
          <w:highlight w:val="none"/>
        </w:rPr>
        <w:t>类似项目物业经理管理经验</w:t>
      </w:r>
      <w:r>
        <w:rPr>
          <w:rFonts w:hint="eastAsia" w:ascii="宋体" w:hAnsi="宋体" w:cs="宋体"/>
          <w:bCs/>
          <w:color w:val="auto"/>
          <w:szCs w:val="21"/>
          <w:highlight w:val="none"/>
        </w:rPr>
        <w:t>；安全主管年龄在4</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周岁（含）以下，应具有大专及以上学历，</w:t>
      </w:r>
      <w:r>
        <w:rPr>
          <w:rFonts w:hint="eastAsia" w:ascii="宋体" w:hAnsi="宋体" w:cs="宋体"/>
          <w:color w:val="auto"/>
          <w:kern w:val="0"/>
          <w:szCs w:val="21"/>
          <w:highlight w:val="none"/>
        </w:rPr>
        <w:t>具有四级</w:t>
      </w:r>
      <w:r>
        <w:rPr>
          <w:rFonts w:hint="eastAsia" w:ascii="宋体" w:hAnsi="宋体" w:cs="宋体"/>
          <w:color w:val="auto"/>
          <w:kern w:val="0"/>
          <w:szCs w:val="21"/>
          <w:highlight w:val="none"/>
          <w:lang w:eastAsia="zh-CN"/>
        </w:rPr>
        <w:t>（含）</w:t>
      </w:r>
      <w:r>
        <w:rPr>
          <w:rFonts w:hint="eastAsia" w:ascii="宋体" w:hAnsi="宋体" w:cs="宋体"/>
          <w:color w:val="auto"/>
          <w:kern w:val="0"/>
          <w:szCs w:val="21"/>
          <w:highlight w:val="none"/>
        </w:rPr>
        <w:t>或中级工</w:t>
      </w:r>
      <w:r>
        <w:rPr>
          <w:rFonts w:hint="eastAsia" w:ascii="宋体" w:hAnsi="宋体" w:cs="宋体"/>
          <w:bCs/>
          <w:color w:val="auto"/>
          <w:szCs w:val="21"/>
          <w:highlight w:val="none"/>
        </w:rPr>
        <w:t>（含）</w:t>
      </w:r>
      <w:r>
        <w:rPr>
          <w:rFonts w:hint="eastAsia" w:ascii="宋体" w:hAnsi="宋体" w:cs="宋体"/>
          <w:color w:val="auto"/>
          <w:kern w:val="0"/>
          <w:szCs w:val="21"/>
          <w:highlight w:val="none"/>
        </w:rPr>
        <w:t>以上消防设施操作员或</w:t>
      </w:r>
      <w:r>
        <w:rPr>
          <w:rFonts w:hint="eastAsia" w:ascii="宋体" w:hAnsi="宋体"/>
          <w:snapToGrid w:val="0"/>
          <w:color w:val="auto"/>
          <w:kern w:val="0"/>
          <w:szCs w:val="21"/>
          <w:highlight w:val="none"/>
        </w:rPr>
        <w:t>《建（构）筑物消防员》证书</w:t>
      </w:r>
      <w:r>
        <w:rPr>
          <w:rFonts w:hint="eastAsia" w:ascii="宋体" w:hAnsi="宋体" w:cs="宋体"/>
          <w:color w:val="auto"/>
          <w:kern w:val="0"/>
          <w:szCs w:val="21"/>
          <w:highlight w:val="none"/>
        </w:rPr>
        <w:t>，具有有效期内的《北京市从业人员健康证明》，具有5年</w:t>
      </w:r>
      <w:r>
        <w:rPr>
          <w:rFonts w:hint="eastAsia" w:ascii="宋体" w:hAnsi="宋体" w:cs="宋体"/>
          <w:bCs/>
          <w:color w:val="auto"/>
          <w:szCs w:val="21"/>
          <w:highlight w:val="none"/>
        </w:rPr>
        <w:t>（含）</w:t>
      </w:r>
      <w:r>
        <w:rPr>
          <w:rFonts w:hint="eastAsia" w:ascii="宋体" w:hAnsi="宋体" w:cs="宋体"/>
          <w:color w:val="auto"/>
          <w:kern w:val="0"/>
          <w:szCs w:val="21"/>
          <w:highlight w:val="none"/>
        </w:rPr>
        <w:t>以上类似项目物业安全主管经验</w:t>
      </w:r>
      <w:r>
        <w:rPr>
          <w:rFonts w:hint="eastAsia" w:ascii="宋体" w:hAnsi="宋体" w:cs="宋体"/>
          <w:bCs/>
          <w:color w:val="auto"/>
          <w:szCs w:val="21"/>
          <w:highlight w:val="none"/>
        </w:rPr>
        <w:t>；综合维修主管年龄在4</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周岁（含）以下，应</w:t>
      </w:r>
      <w:r>
        <w:rPr>
          <w:rFonts w:hint="eastAsia" w:ascii="宋体" w:hAnsi="宋体" w:cs="宋体"/>
          <w:color w:val="auto"/>
          <w:kern w:val="0"/>
          <w:szCs w:val="21"/>
          <w:highlight w:val="none"/>
        </w:rPr>
        <w:t>具有本科及以上学历，具有中级及以上职称证书，具有房屋建筑结构安全管理员与房屋建筑设施设备安全管理员证书</w:t>
      </w:r>
      <w:r>
        <w:rPr>
          <w:rFonts w:hint="eastAsia" w:ascii="宋体" w:hAnsi="宋体"/>
          <w:color w:val="auto"/>
          <w:szCs w:val="21"/>
          <w:highlight w:val="none"/>
        </w:rPr>
        <w:t>或承诺满足《北京市房屋建筑安全管理员管理办法》要求的房屋建筑安全管理员任职资格条件</w:t>
      </w:r>
      <w:r>
        <w:rPr>
          <w:rFonts w:hint="eastAsia" w:ascii="宋体" w:hAnsi="宋体" w:cs="宋体"/>
          <w:color w:val="auto"/>
          <w:kern w:val="0"/>
          <w:szCs w:val="21"/>
          <w:highlight w:val="none"/>
        </w:rPr>
        <w:t>，具有有效期内的《北京市从业人员健康证明》，</w:t>
      </w:r>
      <w:r>
        <w:rPr>
          <w:rFonts w:hint="eastAsia" w:ascii="宋体" w:hAnsi="宋体" w:cs="宋体"/>
          <w:bCs/>
          <w:color w:val="auto"/>
          <w:szCs w:val="21"/>
          <w:highlight w:val="none"/>
        </w:rPr>
        <w:t>具有5</w:t>
      </w:r>
      <w:r>
        <w:rPr>
          <w:rFonts w:ascii="宋体" w:hAnsi="宋体" w:cs="宋体"/>
          <w:bCs/>
          <w:color w:val="auto"/>
          <w:szCs w:val="21"/>
          <w:highlight w:val="none"/>
          <w:lang w:bidi="ar"/>
        </w:rPr>
        <w:t>年</w:t>
      </w:r>
      <w:r>
        <w:rPr>
          <w:rFonts w:hint="eastAsia" w:ascii="宋体" w:hAnsi="宋体" w:cs="宋体"/>
          <w:bCs/>
          <w:color w:val="auto"/>
          <w:szCs w:val="21"/>
          <w:highlight w:val="none"/>
        </w:rPr>
        <w:t>（含）</w:t>
      </w:r>
      <w:r>
        <w:rPr>
          <w:rFonts w:ascii="宋体" w:hAnsi="宋体" w:cs="宋体"/>
          <w:bCs/>
          <w:color w:val="auto"/>
          <w:szCs w:val="21"/>
          <w:highlight w:val="none"/>
          <w:lang w:bidi="ar"/>
        </w:rPr>
        <w:t>以上类似项目物业综合维修主管经验</w:t>
      </w:r>
      <w:r>
        <w:rPr>
          <w:rFonts w:hint="eastAsia" w:ascii="宋体" w:hAnsi="宋体" w:cs="宋体"/>
          <w:bCs/>
          <w:color w:val="auto"/>
          <w:szCs w:val="21"/>
          <w:highlight w:val="none"/>
        </w:rPr>
        <w:t>；保洁主管年龄在4</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周岁（含）以下，应具有本科及以上学历,</w:t>
      </w:r>
      <w:r>
        <w:rPr>
          <w:rFonts w:hint="eastAsia" w:ascii="宋体" w:hAnsi="宋体" w:cs="宋体"/>
          <w:color w:val="auto"/>
          <w:kern w:val="0"/>
          <w:szCs w:val="21"/>
          <w:highlight w:val="none"/>
        </w:rPr>
        <w:t>具有有效期内的《北京市从业人员健康证明》，</w:t>
      </w:r>
      <w:r>
        <w:rPr>
          <w:rFonts w:hint="eastAsia" w:ascii="宋体" w:hAnsi="宋体" w:cs="宋体"/>
          <w:bCs/>
          <w:color w:val="auto"/>
          <w:szCs w:val="21"/>
          <w:highlight w:val="none"/>
        </w:rPr>
        <w:t>具有5年（含）以上类似项目物业保洁主管经验；会服主管年龄在4</w:t>
      </w:r>
      <w:r>
        <w:rPr>
          <w:rFonts w:ascii="宋体" w:hAnsi="宋体" w:cs="宋体"/>
          <w:bCs/>
          <w:color w:val="auto"/>
          <w:szCs w:val="21"/>
          <w:highlight w:val="none"/>
        </w:rPr>
        <w:t>0</w:t>
      </w:r>
      <w:r>
        <w:rPr>
          <w:rFonts w:hint="eastAsia" w:ascii="宋体" w:hAnsi="宋体" w:cs="宋体"/>
          <w:bCs/>
          <w:color w:val="auto"/>
          <w:szCs w:val="21"/>
          <w:highlight w:val="none"/>
        </w:rPr>
        <w:t>周岁（含）以下，应具有本科及以上学历,</w:t>
      </w:r>
      <w:r>
        <w:rPr>
          <w:rFonts w:hint="eastAsia" w:ascii="宋体" w:hAnsi="宋体" w:cs="宋体"/>
          <w:color w:val="auto"/>
          <w:kern w:val="0"/>
          <w:szCs w:val="21"/>
          <w:highlight w:val="none"/>
        </w:rPr>
        <w:t>具有中级及以上职称证书，具有有效期内的《北京市从业人员健康证明》，</w:t>
      </w:r>
      <w:r>
        <w:rPr>
          <w:rFonts w:hint="eastAsia" w:ascii="宋体" w:hAnsi="宋体" w:cs="宋体"/>
          <w:bCs/>
          <w:color w:val="auto"/>
          <w:szCs w:val="21"/>
          <w:highlight w:val="none"/>
        </w:rPr>
        <w:t>具有5年（含）以上类似项目物业会服主管经验。</w:t>
      </w:r>
    </w:p>
    <w:p>
      <w:pPr>
        <w:snapToGrid w:val="0"/>
        <w:spacing w:line="360" w:lineRule="auto"/>
        <w:ind w:firstLine="420" w:firstLineChars="200"/>
        <w:rPr>
          <w:rFonts w:hint="eastAsia" w:ascii="宋体" w:hAnsi="宋体" w:cs="宋体"/>
          <w:bCs/>
          <w:dstrike/>
          <w:color w:val="auto"/>
          <w:szCs w:val="21"/>
          <w:highlight w:val="none"/>
        </w:rPr>
      </w:pPr>
      <w:r>
        <w:rPr>
          <w:rFonts w:hint="eastAsia" w:ascii="宋体" w:hAnsi="宋体" w:cs="宋体"/>
          <w:bCs/>
          <w:color w:val="auto"/>
          <w:szCs w:val="21"/>
          <w:highlight w:val="none"/>
        </w:rPr>
        <w:t>3.配电及综合维修6人，全部年龄50（含）岁以下，全部具备高中及以上学历证书，全部持有高压电工作业证。其中至少2人同时具备有限空间监护作业证书、至少1人具备特种设备安全管理A证书（电梯管理员证）。全部具有</w:t>
      </w:r>
      <w:r>
        <w:rPr>
          <w:rFonts w:ascii="宋体" w:hAnsi="宋体" w:cs="宋体"/>
          <w:bCs/>
          <w:color w:val="auto"/>
          <w:szCs w:val="21"/>
          <w:highlight w:val="none"/>
        </w:rPr>
        <w:t>有效期内的《北京市从业人员健康证明》</w:t>
      </w:r>
      <w:r>
        <w:rPr>
          <w:rFonts w:hint="eastAsia" w:ascii="宋体" w:hAnsi="宋体" w:cs="宋体"/>
          <w:bCs/>
          <w:color w:val="auto"/>
          <w:szCs w:val="21"/>
          <w:highlight w:val="none"/>
        </w:rPr>
        <w:t>，全部具备</w:t>
      </w:r>
      <w:r>
        <w:rPr>
          <w:rFonts w:ascii="宋体" w:hAnsi="宋体" w:cs="宋体"/>
          <w:bCs/>
          <w:color w:val="auto"/>
          <w:szCs w:val="21"/>
          <w:highlight w:val="none"/>
        </w:rPr>
        <w:t>5</w:t>
      </w:r>
      <w:r>
        <w:rPr>
          <w:rFonts w:hint="eastAsia" w:ascii="宋体" w:hAnsi="宋体" w:cs="宋体"/>
          <w:bCs/>
          <w:color w:val="auto"/>
          <w:szCs w:val="21"/>
          <w:highlight w:val="none"/>
        </w:rPr>
        <w:t>年（含）及以上相关工作经验。</w:t>
      </w:r>
    </w:p>
    <w:p>
      <w:pPr>
        <w:snapToGrid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4.消防中控人员5人，全部年龄50岁</w:t>
      </w:r>
      <w:r>
        <w:rPr>
          <w:rFonts w:hint="eastAsia" w:ascii="宋体" w:hAnsi="宋体" w:cs="宋体"/>
          <w:bCs/>
          <w:color w:val="auto"/>
          <w:szCs w:val="21"/>
          <w:highlight w:val="none"/>
          <w:lang w:eastAsia="zh-CN"/>
        </w:rPr>
        <w:t>（含）</w:t>
      </w:r>
      <w:r>
        <w:rPr>
          <w:rFonts w:hint="eastAsia" w:ascii="宋体" w:hAnsi="宋体" w:cs="宋体"/>
          <w:bCs/>
          <w:color w:val="auto"/>
          <w:szCs w:val="21"/>
          <w:highlight w:val="none"/>
        </w:rPr>
        <w:t>以下，全部具备高中及以上学历证书。全部具有四级或中级工以上消防设施操作员或《建（构）筑物消防员》证书。全部具有5年（含）以上类似工作经验。</w:t>
      </w:r>
    </w:p>
    <w:p>
      <w:pPr>
        <w:snapToGrid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5.二次供水运行、保养、维修等人员应具有有效的健康检查证明并经卫生法规知识培训合格。</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6.人员招收、招聘来源情况及人员稳定性保障措施。</w:t>
      </w:r>
    </w:p>
    <w:p>
      <w:pPr>
        <w:snapToGrid w:val="0"/>
        <w:spacing w:line="360" w:lineRule="auto"/>
        <w:ind w:firstLine="420" w:firstLineChars="200"/>
        <w:outlineLvl w:val="1"/>
        <w:rPr>
          <w:rFonts w:hint="eastAsia" w:ascii="宋体" w:hAnsi="宋体" w:cs="宋体"/>
          <w:color w:val="auto"/>
          <w:szCs w:val="21"/>
          <w:highlight w:val="none"/>
        </w:rPr>
      </w:pPr>
      <w:r>
        <w:rPr>
          <w:rFonts w:hint="eastAsia" w:ascii="宋体" w:hAnsi="宋体" w:cs="宋体"/>
          <w:color w:val="auto"/>
          <w:szCs w:val="21"/>
          <w:highlight w:val="none"/>
        </w:rPr>
        <w:t>7.保证拟派人员专职为本项目提供服务。</w:t>
      </w:r>
    </w:p>
    <w:p>
      <w:pPr>
        <w:snapToGrid w:val="0"/>
        <w:spacing w:line="360" w:lineRule="auto"/>
        <w:ind w:firstLine="422" w:firstLineChars="200"/>
        <w:outlineLvl w:val="1"/>
        <w:rPr>
          <w:rFonts w:hint="eastAsia" w:ascii="宋体" w:hAnsi="宋体" w:cs="宋体"/>
          <w:b/>
          <w:bCs/>
          <w:color w:val="auto"/>
          <w:szCs w:val="21"/>
          <w:highlight w:val="none"/>
        </w:rPr>
      </w:pPr>
      <w:r>
        <w:rPr>
          <w:rFonts w:hint="eastAsia" w:ascii="宋体" w:hAnsi="宋体" w:cs="宋体"/>
          <w:b/>
          <w:bCs/>
          <w:color w:val="auto"/>
          <w:szCs w:val="21"/>
          <w:highlight w:val="none"/>
        </w:rPr>
        <w:t>（二）职业素质</w:t>
      </w:r>
    </w:p>
    <w:p>
      <w:pPr>
        <w:snapToGrid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1.政治素质。热爱祖国、诚实信用；爱岗敬业，恪尽职守；遵纪守法，团结协作；无违法犯罪记录。</w:t>
      </w:r>
    </w:p>
    <w:p>
      <w:pPr>
        <w:snapToGrid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业务技能。具备基本法律知识，了解有关岗位管理政策、规定，熟悉物业服务区域基本情况；具备较强的语言、文字表达能力和沟通能力；具备与岗位职责相应的观察、发现、处置问题能力；熟练使用相关专用设施设备——身体素质。仪表端庄，具备岗位需要的身高、视力等条件。</w:t>
      </w:r>
    </w:p>
    <w:p>
      <w:pPr>
        <w:snapToGrid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3.文化素质。具备岗位所需学历，特殊岗位应具备相应的专业业务知识和技能。</w:t>
      </w:r>
    </w:p>
    <w:p>
      <w:pPr>
        <w:snapToGrid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4.年龄条件。人员年龄应符合国家法律规定的最低或最高年龄要求，本次服务需求对各岗位有特殊要求的按照特殊要求执行。</w:t>
      </w:r>
    </w:p>
    <w:p>
      <w:pPr>
        <w:snapToGrid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5.安全生产。严格按安全操作规程操作，不得违章作业、违章指挥。</w:t>
      </w:r>
    </w:p>
    <w:p>
      <w:pPr>
        <w:snapToGrid w:val="0"/>
        <w:spacing w:line="360" w:lineRule="auto"/>
        <w:ind w:firstLine="422" w:firstLineChars="200"/>
        <w:outlineLvl w:val="1"/>
        <w:rPr>
          <w:rFonts w:hint="eastAsia" w:ascii="宋体" w:hAnsi="宋体" w:cs="宋体"/>
          <w:b/>
          <w:bCs/>
          <w:color w:val="auto"/>
          <w:szCs w:val="21"/>
          <w:highlight w:val="none"/>
        </w:rPr>
      </w:pPr>
      <w:r>
        <w:rPr>
          <w:rFonts w:hint="eastAsia" w:ascii="宋体" w:hAnsi="宋体" w:cs="宋体"/>
          <w:b/>
          <w:bCs/>
          <w:color w:val="auto"/>
          <w:szCs w:val="21"/>
          <w:highlight w:val="none"/>
        </w:rPr>
        <w:t>（三）行为规范</w:t>
      </w:r>
    </w:p>
    <w:p>
      <w:pPr>
        <w:snapToGrid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 xml:space="preserve">1.着装。统一着装、干净整洁，并按规定佩带标志，因私外出时应着便服。 </w:t>
      </w:r>
    </w:p>
    <w:p>
      <w:pPr>
        <w:tabs>
          <w:tab w:val="left" w:pos="8399"/>
        </w:tabs>
        <w:spacing w:line="360" w:lineRule="auto"/>
        <w:ind w:firstLine="420" w:firstLineChars="200"/>
        <w:rPr>
          <w:rFonts w:hint="eastAsia" w:ascii="宋体" w:hAnsi="宋体" w:cs="宋体"/>
          <w:b/>
          <w:color w:val="auto"/>
          <w:szCs w:val="21"/>
          <w:highlight w:val="none"/>
        </w:rPr>
      </w:pPr>
      <w:r>
        <w:rPr>
          <w:rFonts w:hint="eastAsia" w:ascii="宋体" w:hAnsi="宋体" w:cs="宋体"/>
          <w:bCs/>
          <w:color w:val="auto"/>
          <w:szCs w:val="21"/>
          <w:highlight w:val="none"/>
        </w:rPr>
        <w:t>2.纪律。姿态端正、工作规范、举止文明、精神饱满、表情自然；语言简洁、文明，主动、热情、耐心、周到并及时、主动提供服务；严格履行岗位职责；不准刁难客户及来访人员；不得脱岗、空岗、睡岗，不准迟到、早退；遵守采购人单位内部的规章制度，不准随意打听、记录、传播采购人单位内部的机密；有重要情况妥善处置并及时上报。不准迟报、漏报、瞒报；认真填写值班记录，做好交接班工作；爱护公物，爱护客户财物；自觉维护环境卫生，保持物业服务区域整齐清洁。</w:t>
      </w:r>
    </w:p>
    <w:p>
      <w:pPr>
        <w:adjustRightInd w:val="0"/>
        <w:snapToGrid w:val="0"/>
        <w:spacing w:line="360" w:lineRule="auto"/>
        <w:rPr>
          <w:rFonts w:hint="eastAsia" w:ascii="宋体" w:hAnsi="宋体"/>
          <w:b/>
          <w:color w:val="auto"/>
          <w:szCs w:val="21"/>
          <w:highlight w:val="none"/>
        </w:rPr>
      </w:pPr>
      <w:r>
        <w:rPr>
          <w:rFonts w:hint="eastAsia" w:ascii="宋体" w:hAnsi="宋体"/>
          <w:b/>
          <w:color w:val="auto"/>
          <w:szCs w:val="21"/>
          <w:highlight w:val="none"/>
        </w:rPr>
        <w:t>2.4需要说明的其他事项</w:t>
      </w:r>
    </w:p>
    <w:p>
      <w:pPr>
        <w:snapToGrid w:val="0"/>
        <w:spacing w:line="360" w:lineRule="auto"/>
        <w:ind w:firstLine="422" w:firstLineChars="200"/>
        <w:outlineLvl w:val="1"/>
        <w:rPr>
          <w:rFonts w:hint="eastAsia" w:ascii="宋体" w:hAnsi="宋体" w:cs="楷体"/>
          <w:b/>
          <w:color w:val="auto"/>
          <w:szCs w:val="21"/>
          <w:highlight w:val="none"/>
        </w:rPr>
      </w:pPr>
      <w:r>
        <w:rPr>
          <w:rFonts w:hint="eastAsia" w:ascii="宋体" w:hAnsi="宋体" w:cs="楷体"/>
          <w:b/>
          <w:color w:val="auto"/>
          <w:szCs w:val="21"/>
          <w:highlight w:val="none"/>
        </w:rPr>
        <w:t>（一）零星维修材料费用</w:t>
      </w:r>
    </w:p>
    <w:p>
      <w:pPr>
        <w:snapToGrid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1.涉及以下情形的，相关费用包含在物业管理服务采购合同金额之内，由投标人承担：</w:t>
      </w:r>
      <w:r>
        <w:rPr>
          <w:rFonts w:hint="eastAsia" w:ascii="宋体" w:hAnsi="宋体" w:cs="宋体"/>
          <w:bCs/>
          <w:color w:val="auto"/>
          <w:szCs w:val="21"/>
          <w:highlight w:val="none"/>
          <w:u w:val="single"/>
        </w:rPr>
        <w:t xml:space="preserve">  单次维修项目单价不超过人民币300元的维修项目并</w:t>
      </w:r>
      <w:r>
        <w:rPr>
          <w:rFonts w:ascii="宋体" w:hAnsi="宋体" w:cs="宋体"/>
          <w:bCs/>
          <w:color w:val="auto"/>
          <w:kern w:val="0"/>
          <w:szCs w:val="21"/>
          <w:highlight w:val="none"/>
          <w:u w:val="single"/>
        </w:rPr>
        <w:t>提供相应的备品备件</w:t>
      </w:r>
      <w:r>
        <w:rPr>
          <w:rFonts w:hint="eastAsia" w:ascii="宋体" w:hAnsi="宋体" w:cs="宋体"/>
          <w:bCs/>
          <w:color w:val="auto"/>
          <w:kern w:val="0"/>
          <w:szCs w:val="21"/>
          <w:highlight w:val="none"/>
          <w:u w:val="single"/>
        </w:rPr>
        <w:t>。</w:t>
      </w:r>
    </w:p>
    <w:p>
      <w:pPr>
        <w:snapToGrid w:val="0"/>
        <w:spacing w:line="360" w:lineRule="auto"/>
        <w:ind w:firstLine="420" w:firstLineChars="200"/>
        <w:rPr>
          <w:rFonts w:hint="eastAsia" w:ascii="宋体" w:hAnsi="宋体" w:cs="宋体"/>
          <w:b/>
          <w:bCs/>
          <w:color w:val="auto"/>
          <w:szCs w:val="21"/>
          <w:highlight w:val="none"/>
        </w:rPr>
      </w:pPr>
      <w:r>
        <w:rPr>
          <w:rFonts w:hint="eastAsia" w:ascii="宋体" w:hAnsi="宋体" w:cs="宋体"/>
          <w:bCs/>
          <w:color w:val="auto"/>
          <w:szCs w:val="21"/>
          <w:highlight w:val="none"/>
        </w:rPr>
        <w:t>2.涉及以下情形的，由采购人承担：</w:t>
      </w:r>
      <w:r>
        <w:rPr>
          <w:rFonts w:hint="eastAsia" w:ascii="宋体" w:hAnsi="宋体" w:cs="宋体"/>
          <w:bCs/>
          <w:color w:val="auto"/>
          <w:szCs w:val="21"/>
          <w:highlight w:val="none"/>
          <w:u w:val="single"/>
        </w:rPr>
        <w:t xml:space="preserve">  单次维修项目单价超过人民币300元的维修项目  </w:t>
      </w:r>
      <w:r>
        <w:rPr>
          <w:rFonts w:hint="eastAsia" w:ascii="宋体" w:hAnsi="宋体" w:cs="宋体"/>
          <w:bCs/>
          <w:color w:val="auto"/>
          <w:szCs w:val="21"/>
          <w:highlight w:val="none"/>
        </w:rPr>
        <w:t>。</w:t>
      </w:r>
    </w:p>
    <w:p>
      <w:pPr>
        <w:snapToGrid w:val="0"/>
        <w:spacing w:line="360" w:lineRule="auto"/>
        <w:ind w:firstLine="422" w:firstLineChars="200"/>
        <w:outlineLvl w:val="1"/>
        <w:rPr>
          <w:rFonts w:hint="eastAsia" w:ascii="宋体" w:hAnsi="宋体" w:cs="楷体"/>
          <w:b/>
          <w:color w:val="auto"/>
          <w:szCs w:val="21"/>
          <w:highlight w:val="none"/>
        </w:rPr>
      </w:pPr>
      <w:r>
        <w:rPr>
          <w:rFonts w:hint="eastAsia" w:ascii="宋体" w:hAnsi="宋体" w:cs="楷体"/>
          <w:b/>
          <w:color w:val="auto"/>
          <w:szCs w:val="21"/>
          <w:highlight w:val="none"/>
        </w:rPr>
        <w:t>（二）其他</w:t>
      </w:r>
    </w:p>
    <w:p>
      <w:pPr>
        <w:snapToGrid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1.中央空调维保、二次供水和排污水泵维保、消防系统维保、消电检、防雷检测、垃圾清运、化粪池清掏费用由采购人承担，投标人协助采购人及专业单位或公司实施。</w:t>
      </w:r>
    </w:p>
    <w:p>
      <w:pPr>
        <w:snapToGrid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2.电梯维保费用由投标人先行支付，费用不包含在物业服务项目合同金额之内，采购人与投标人另行结算。</w:t>
      </w:r>
    </w:p>
    <w:p>
      <w:pPr>
        <w:adjustRightInd w:val="0"/>
        <w:snapToGrid w:val="0"/>
        <w:spacing w:line="360" w:lineRule="auto"/>
        <w:ind w:firstLine="422" w:firstLineChars="200"/>
        <w:rPr>
          <w:rFonts w:hint="eastAsia" w:ascii="宋体" w:hAnsi="宋体"/>
          <w:color w:val="auto"/>
          <w:szCs w:val="21"/>
          <w:highlight w:val="none"/>
        </w:rPr>
      </w:pPr>
      <w:r>
        <w:rPr>
          <w:rFonts w:hint="eastAsia" w:ascii="宋体" w:hAnsi="宋体" w:cs="楷体"/>
          <w:b/>
          <w:color w:val="auto"/>
          <w:szCs w:val="21"/>
          <w:highlight w:val="none"/>
          <w:lang w:bidi="ar"/>
        </w:rPr>
        <w:t>注：本款涉及的零星维修材料、低值易耗品、苗木、客耗品等费用，不论是由投标人，还是采购人承担，涉及的相关服务由投标人承担，服务费用包含在物业服务项目合同金额之内。</w:t>
      </w:r>
    </w:p>
    <w:p>
      <w:pPr>
        <w:spacing w:line="360" w:lineRule="auto"/>
        <w:contextualSpacing/>
        <w:rPr>
          <w:rFonts w:hint="eastAsia" w:ascii="宋体" w:hAnsi="宋体"/>
          <w:b/>
          <w:color w:val="auto"/>
          <w:szCs w:val="21"/>
          <w:highlight w:val="none"/>
        </w:rPr>
      </w:pPr>
    </w:p>
    <w:p>
      <w:pPr>
        <w:spacing w:line="360" w:lineRule="auto"/>
        <w:contextualSpacing/>
        <w:rPr>
          <w:rFonts w:hint="eastAsia" w:ascii="宋体" w:hAnsi="宋体"/>
          <w:b/>
          <w:color w:val="auto"/>
          <w:szCs w:val="21"/>
          <w:highlight w:val="none"/>
        </w:rPr>
      </w:pPr>
      <w:r>
        <w:rPr>
          <w:rFonts w:hint="eastAsia" w:ascii="宋体" w:hAnsi="宋体"/>
          <w:b/>
          <w:color w:val="auto"/>
          <w:szCs w:val="21"/>
          <w:highlight w:val="none"/>
        </w:rPr>
        <w:t>3. 验收标准</w:t>
      </w:r>
    </w:p>
    <w:p>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参考国家标准《机关办公区域物业服务监管和评价规范》GB/T 43542-2023</w:t>
      </w:r>
    </w:p>
    <w:p>
      <w:pPr>
        <w:adjustRightInd w:val="0"/>
        <w:snapToGrid w:val="0"/>
        <w:spacing w:line="360" w:lineRule="auto"/>
        <w:rPr>
          <w:rFonts w:hint="eastAsia" w:ascii="宋体" w:hAnsi="宋体"/>
          <w:bCs/>
          <w:color w:val="auto"/>
          <w:szCs w:val="21"/>
          <w:highlight w:val="none"/>
        </w:rPr>
      </w:pPr>
      <w:r>
        <w:rPr>
          <w:color w:val="auto"/>
          <w:szCs w:val="21"/>
          <w:highlight w:val="none"/>
        </w:rPr>
        <w:fldChar w:fldCharType="begin"/>
      </w:r>
      <w:r>
        <w:rPr>
          <w:color w:val="auto"/>
          <w:szCs w:val="21"/>
          <w:highlight w:val="none"/>
        </w:rPr>
        <w:instrText xml:space="preserve">HYPERLINK "https://openstd.samr.gov.cn/bzgk/gb/newGbInfo?hcno=C070412AB307DB0D625E3DADB25B9704"</w:instrText>
      </w:r>
      <w:r>
        <w:rPr>
          <w:color w:val="auto"/>
          <w:szCs w:val="21"/>
          <w:highlight w:val="none"/>
        </w:rPr>
        <w:fldChar w:fldCharType="separate"/>
      </w:r>
      <w:r>
        <w:rPr>
          <w:rFonts w:hint="eastAsia" w:ascii="宋体" w:hAnsi="宋体"/>
          <w:bCs/>
          <w:color w:val="auto"/>
          <w:szCs w:val="21"/>
          <w:highlight w:val="none"/>
        </w:rPr>
        <w:t>https://openstd.samr.gov.cn/bzgk/gb/newGbInfo?hcno=C070412AB307DB0D625E3DADB25B9704</w:t>
      </w:r>
      <w:r>
        <w:rPr>
          <w:color w:val="auto"/>
          <w:szCs w:val="21"/>
          <w:highlight w:val="none"/>
        </w:rPr>
        <w:fldChar w:fldCharType="end"/>
      </w:r>
    </w:p>
    <w:p>
      <w:pPr>
        <w:pStyle w:val="4"/>
        <w:spacing w:line="360" w:lineRule="auto"/>
        <w:ind w:left="840"/>
        <w:rPr>
          <w:rFonts w:hint="eastAsia" w:ascii="宋体" w:hAnsi="宋体"/>
          <w:b/>
          <w:color w:val="auto"/>
          <w:szCs w:val="21"/>
          <w:highlight w:val="none"/>
        </w:rPr>
      </w:pPr>
    </w:p>
    <w:p>
      <w:pPr>
        <w:pStyle w:val="4"/>
        <w:spacing w:line="360" w:lineRule="auto"/>
        <w:rPr>
          <w:rFonts w:hint="eastAsia" w:ascii="宋体" w:hAnsi="宋体"/>
          <w:b/>
          <w:color w:val="auto"/>
          <w:szCs w:val="21"/>
          <w:highlight w:val="none"/>
        </w:rPr>
      </w:pPr>
      <w:r>
        <w:rPr>
          <w:rFonts w:hint="eastAsia" w:ascii="宋体" w:hAnsi="宋体"/>
          <w:b/>
          <w:color w:val="auto"/>
          <w:szCs w:val="21"/>
          <w:highlight w:val="none"/>
        </w:rPr>
        <w:t>4. 其他要求</w:t>
      </w:r>
    </w:p>
    <w:p>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4.1《北京市物业管理条例》第六十一条：一个物业管理区域应当选定一个物业服务企业提供物业服务。电梯、消防等具有专业技术要求的设施设备的维修和养护，应当由符合资质的专业机构或者人员实施。</w:t>
      </w:r>
    </w:p>
    <w:p>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4.2《北京市物业管理条例》第六十五条：物业服务人应当按照物业服务合同的约定提供物业服务，并且遵守下列规定：提供物业服务符合国家和本市规定的标准、规范；及时向业主、物业使用人告知安全、合理使用物业的注意事项；定期听取业主的意见和建议，接受业主监督，改进和完善服务；对违法建设、违规出租房屋、私拉电线、占用消防通道等行为进行劝阻、制止，劝阻、制止无效的，及时报告行政执法机关；发现有安全风险隐患的，及时设置警示标志，采取措施排除隐患或者向有关专业机构报告；对物业使用人违反临时管理规约、管理规约的行为进行劝阻、制止，并及时报告业主；不得泄露在物业服务活动中获取的业主信息；履行生活垃圾分类管理责任人责任，指导、监督业主和物业使用人进行生活垃圾分类；配合街道办事处、乡镇人民政府、行政执法机关和居民委员会、村民委员会做好物业管理相关工作。</w:t>
      </w:r>
    </w:p>
    <w:p>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4.3京机管发〔2020〕15号节约型机关创建评价细则：在物业管理合同中提出节能、节水、反食品浪费、生活垃圾分类管理目标和服务要求。</w:t>
      </w:r>
      <w:bookmarkStart w:id="3" w:name="_Toc22993"/>
    </w:p>
    <w:bookmarkEnd w:id="3"/>
    <w:p>
      <w:pPr>
        <w:spacing w:line="360" w:lineRule="auto"/>
        <w:ind w:firstLine="420" w:firstLineChars="200"/>
        <w:rPr>
          <w:rFonts w:hint="eastAsia" w:ascii="宋体" w:hAnsi="宋体"/>
          <w:color w:val="auto"/>
          <w:sz w:val="24"/>
          <w:highlight w:val="none"/>
        </w:rPr>
      </w:pPr>
      <w:r>
        <w:rPr>
          <w:rFonts w:hint="eastAsia" w:ascii="宋体" w:hAnsi="宋体" w:cs="宋体"/>
          <w:bCs/>
          <w:color w:val="auto"/>
          <w:szCs w:val="21"/>
          <w:highlight w:val="none"/>
        </w:rPr>
        <w:t>4.4未经采购人书面许可，禁止将本项目整体转包或拆项分包。</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3"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743713A"/>
    <w:multiLevelType w:val="multilevel"/>
    <w:tmpl w:val="2743713A"/>
    <w:lvl w:ilvl="0" w:tentative="0">
      <w:start w:val="1"/>
      <w:numFmt w:val="bullet"/>
      <w:lvlText w:val=""/>
      <w:lvlJc w:val="left"/>
      <w:pPr>
        <w:tabs>
          <w:tab w:val="left" w:pos="0"/>
        </w:tabs>
        <w:ind w:left="900" w:hanging="420"/>
      </w:pPr>
      <w:rPr>
        <w:rFonts w:hint="default" w:ascii="Wingdings" w:hAnsi="Wingdings"/>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2">
    <w:nsid w:val="39EEF5CF"/>
    <w:multiLevelType w:val="singleLevel"/>
    <w:tmpl w:val="39EEF5CF"/>
    <w:lvl w:ilvl="0" w:tentative="0">
      <w:start w:val="2"/>
      <w:numFmt w:val="decimal"/>
      <w:lvlText w:val="%1."/>
      <w:lvlJc w:val="left"/>
      <w:pPr>
        <w:tabs>
          <w:tab w:val="left" w:pos="312"/>
        </w:tabs>
        <w:ind w:left="0" w:firstLine="0"/>
      </w:pPr>
    </w:lvl>
  </w:abstractNum>
  <w:num w:numId="1">
    <w:abstractNumId w:val="0"/>
  </w:num>
  <w:num w:numId="2">
    <w:abstractNumId w:val="2"/>
    <w:lvlOverride w:ilvl="0">
      <w:startOverride w:val="2"/>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3311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customStyle="1" w:styleId="3">
    <w:name w:val="目录 11"/>
    <w:next w:val="1"/>
    <w:qFormat/>
    <w:uiPriority w:val="0"/>
    <w:pPr>
      <w:wordWrap w:val="0"/>
      <w:jc w:val="both"/>
    </w:pPr>
    <w:rPr>
      <w:rFonts w:ascii="Calibri" w:hAnsi="Calibri" w:eastAsia="宋体" w:cs="Calibri"/>
      <w:sz w:val="21"/>
      <w:szCs w:val="22"/>
      <w:lang w:val="en-US" w:eastAsia="zh-CN" w:bidi="ar-SA"/>
    </w:rPr>
  </w:style>
  <w:style w:type="paragraph" w:styleId="4">
    <w:name w:val="annotation text"/>
    <w:basedOn w:val="1"/>
    <w:qFormat/>
    <w:uiPriority w:val="99"/>
    <w:pPr>
      <w:jc w:val="left"/>
    </w:pPr>
  </w:style>
  <w:style w:type="paragraph" w:styleId="5">
    <w:name w:val="Salutation"/>
    <w:basedOn w:val="1"/>
    <w:next w:val="1"/>
    <w:unhideWhenUsed/>
    <w:qFormat/>
    <w:uiPriority w:val="0"/>
    <w:pPr>
      <w:adjustRightInd w:val="0"/>
      <w:spacing w:line="360" w:lineRule="atLeast"/>
      <w:jc w:val="left"/>
    </w:pPr>
    <w:rPr>
      <w:rFonts w:ascii="Calibri" w:hAnsi="Calibri"/>
      <w:kern w:val="0"/>
      <w:sz w:val="24"/>
      <w:szCs w:val="22"/>
    </w:rPr>
  </w:style>
  <w:style w:type="paragraph" w:styleId="6">
    <w:name w:val="Body Text Indent"/>
    <w:basedOn w:val="1"/>
    <w:qFormat/>
    <w:uiPriority w:val="0"/>
    <w:pPr>
      <w:spacing w:line="360" w:lineRule="auto"/>
      <w:ind w:firstLine="570"/>
    </w:pPr>
    <w:rPr>
      <w:sz w:val="24"/>
    </w:rPr>
  </w:style>
  <w:style w:type="paragraph" w:styleId="7">
    <w:name w:val="Plain Text"/>
    <w:basedOn w:val="1"/>
    <w:qFormat/>
    <w:uiPriority w:val="0"/>
    <w:rPr>
      <w:rFonts w:hint="eastAsia" w:ascii="宋体" w:hAnsi="Courier New"/>
      <w:szCs w:val="20"/>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1">
    <w:name w:val="List Paragraph"/>
    <w:basedOn w:val="1"/>
    <w:qFormat/>
    <w:uiPriority w:val="34"/>
    <w:pPr>
      <w:ind w:firstLine="420" w:firstLineChars="200"/>
    </w:pPr>
    <w:rPr>
      <w:rFonts w:ascii="Calibri" w:hAnsi="Calibri"/>
      <w:szCs w:val="22"/>
    </w:rPr>
  </w:style>
  <w:style w:type="paragraph" w:customStyle="1" w:styleId="12">
    <w:name w:val="pf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2026-01-07T07:08:25Z</dcterms:created>
  <dc:creator>user</dc:creator>
  <cp:lastModifiedBy>11</cp:lastModifiedBy>
  <dcterms:modified xsi:type="dcterms:W3CDTF">2026-01-07T07:08:44Z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